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30835">
        <w:tc>
          <w:tcPr>
            <w:tcW w:w="509" w:type="dxa"/>
          </w:tcPr>
          <w:p w:rsidR="00830835" w:rsidRDefault="002B6BF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30835" w:rsidRDefault="002B6BF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27.180</w:t>
            </w:r>
            <w:r>
              <w:rPr>
                <w:rFonts w:ascii="黑体" w:eastAsia="黑体" w:hAnsi="黑体"/>
                <w:sz w:val="21"/>
                <w:szCs w:val="21"/>
              </w:rPr>
              <w:t xml:space="preserve"> </w:t>
            </w:r>
            <w:r>
              <w:rPr>
                <w:rFonts w:ascii="黑体" w:eastAsia="黑体" w:hAnsi="黑体"/>
                <w:sz w:val="21"/>
                <w:szCs w:val="21"/>
              </w:rPr>
              <w:fldChar w:fldCharType="end"/>
            </w:r>
            <w:bookmarkEnd w:id="0"/>
          </w:p>
        </w:tc>
      </w:tr>
      <w:tr w:rsidR="00830835">
        <w:tc>
          <w:tcPr>
            <w:tcW w:w="509" w:type="dxa"/>
          </w:tcPr>
          <w:p w:rsidR="00830835" w:rsidRDefault="002B6BF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30835" w:rsidRDefault="002B6BF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F</w:t>
            </w:r>
            <w:r>
              <w:rPr>
                <w:rFonts w:ascii="黑体" w:eastAsia="黑体" w:hAnsi="黑体"/>
                <w:sz w:val="21"/>
                <w:szCs w:val="21"/>
              </w:rPr>
              <w:t xml:space="preserve"> </w:t>
            </w:r>
            <w:r>
              <w:rPr>
                <w:rFonts w:ascii="黑体" w:eastAsia="黑体" w:hAnsi="黑体" w:hint="eastAsia"/>
                <w:sz w:val="21"/>
                <w:szCs w:val="21"/>
              </w:rPr>
              <w:t>11</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30835">
        <w:tc>
          <w:tcPr>
            <w:tcW w:w="6407" w:type="dxa"/>
          </w:tcPr>
          <w:p w:rsidR="00830835" w:rsidRDefault="002B6BFE">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830835" w:rsidRDefault="002B6BFE">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30835" w:rsidRDefault="002B6BFE">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830835" w:rsidRDefault="002B6BFE">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sidR="00935A1F">
        <w:rPr>
          <w:rFonts w:hAnsi="黑体"/>
        </w:rPr>
      </w:r>
      <w:r>
        <w:rPr>
          <w:rFonts w:hAnsi="黑体"/>
        </w:rPr>
        <w:fldChar w:fldCharType="separate"/>
      </w:r>
      <w:r w:rsidR="00935A1F">
        <w:rPr>
          <w:rFonts w:hAnsi="黑体"/>
        </w:rPr>
        <w:t> </w:t>
      </w:r>
      <w:r w:rsidR="00935A1F">
        <w:rPr>
          <w:rFonts w:hAnsi="黑体"/>
        </w:rPr>
        <w:t> </w:t>
      </w:r>
      <w:r w:rsidR="00935A1F">
        <w:rPr>
          <w:rFonts w:hAnsi="黑体"/>
        </w:rPr>
        <w:t> </w:t>
      </w:r>
      <w:r w:rsidR="00935A1F">
        <w:rPr>
          <w:rFonts w:hAnsi="黑体"/>
        </w:rPr>
        <w:t> </w:t>
      </w:r>
      <w:r w:rsidR="00935A1F">
        <w:rPr>
          <w:rFonts w:hAnsi="黑体"/>
        </w:rPr>
        <w:t> </w:t>
      </w:r>
      <w:r>
        <w:rPr>
          <w:rFonts w:hAnsi="黑体"/>
        </w:rPr>
        <w:fldChar w:fldCharType="end"/>
      </w:r>
      <w:bookmarkEnd w:id="8"/>
    </w:p>
    <w:p w:rsidR="00830835" w:rsidRDefault="002B6BF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30835" w:rsidRDefault="00830835">
      <w:pPr>
        <w:pStyle w:val="affffc"/>
        <w:framePr w:w="9639" w:h="6976" w:hRule="exact" w:hSpace="0" w:vSpace="0" w:wrap="around" w:hAnchor="page" w:y="6408"/>
        <w:jc w:val="center"/>
        <w:rPr>
          <w:rFonts w:ascii="黑体" w:eastAsia="黑体" w:hAnsi="黑体"/>
          <w:b w:val="0"/>
          <w:bCs w:val="0"/>
          <w:w w:val="100"/>
        </w:rPr>
      </w:pPr>
    </w:p>
    <w:p w:rsidR="00830835" w:rsidRDefault="002B6BFE">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D10E7">
        <w:t>海上风电场 雷电预警系统技术规范</w:t>
      </w:r>
      <w:r>
        <w:fldChar w:fldCharType="end"/>
      </w:r>
      <w:bookmarkEnd w:id="9"/>
    </w:p>
    <w:p w:rsidR="00830835" w:rsidRDefault="00830835">
      <w:pPr>
        <w:framePr w:w="9639" w:h="6974" w:hRule="exact" w:wrap="around" w:vAnchor="page" w:hAnchor="page" w:x="1419" w:y="6408" w:anchorLock="1"/>
        <w:ind w:left="-1418"/>
      </w:pPr>
    </w:p>
    <w:p w:rsidR="00830835" w:rsidRDefault="002B6BFE">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w:t>
      </w:r>
      <w:r>
        <w:rPr>
          <w:rFonts w:ascii="黑体" w:eastAsia="黑体" w:hAnsi="黑体" w:hint="eastAsia"/>
          <w:szCs w:val="28"/>
        </w:rPr>
        <w:t xml:space="preserve"> </w:t>
      </w:r>
      <w:r>
        <w:rPr>
          <w:rFonts w:ascii="黑体" w:eastAsia="黑体" w:hAnsi="黑体"/>
          <w:szCs w:val="28"/>
        </w:rPr>
        <w:t>specification</w:t>
      </w:r>
      <w:r>
        <w:rPr>
          <w:rFonts w:ascii="黑体" w:eastAsia="黑体" w:hAnsi="黑体" w:hint="eastAsia"/>
          <w:szCs w:val="28"/>
        </w:rPr>
        <w:t xml:space="preserve"> </w:t>
      </w:r>
      <w:r>
        <w:rPr>
          <w:rFonts w:ascii="黑体" w:eastAsia="黑体" w:hAnsi="黑体"/>
          <w:szCs w:val="28"/>
        </w:rPr>
        <w:t>of</w:t>
      </w:r>
      <w:r>
        <w:rPr>
          <w:rFonts w:ascii="黑体" w:eastAsia="黑体" w:hAnsi="黑体" w:hint="eastAsia"/>
          <w:szCs w:val="28"/>
        </w:rPr>
        <w:t xml:space="preserve"> </w:t>
      </w:r>
      <w:r>
        <w:rPr>
          <w:rFonts w:ascii="黑体" w:eastAsia="黑体" w:hAnsi="黑体"/>
          <w:szCs w:val="28"/>
        </w:rPr>
        <w:t>thunderstorm</w:t>
      </w:r>
      <w:r>
        <w:rPr>
          <w:rFonts w:ascii="黑体" w:eastAsia="黑体" w:hAnsi="黑体" w:hint="eastAsia"/>
          <w:szCs w:val="28"/>
        </w:rPr>
        <w:t xml:space="preserve"> </w:t>
      </w:r>
      <w:r>
        <w:rPr>
          <w:rFonts w:ascii="黑体" w:eastAsia="黑体" w:hAnsi="黑体"/>
          <w:szCs w:val="28"/>
        </w:rPr>
        <w:t>warning</w:t>
      </w:r>
      <w:r>
        <w:rPr>
          <w:rFonts w:ascii="黑体" w:eastAsia="黑体" w:hAnsi="黑体" w:hint="eastAsia"/>
          <w:szCs w:val="28"/>
        </w:rPr>
        <w:t xml:space="preserve"> </w:t>
      </w:r>
      <w:r>
        <w:rPr>
          <w:rFonts w:ascii="黑体" w:eastAsia="黑体" w:hAnsi="黑体"/>
          <w:szCs w:val="28"/>
        </w:rPr>
        <w:t>systems</w:t>
      </w:r>
      <w:r>
        <w:rPr>
          <w:rFonts w:ascii="黑体" w:eastAsia="黑体" w:hAnsi="黑体" w:hint="eastAsia"/>
          <w:szCs w:val="28"/>
        </w:rPr>
        <w:t xml:space="preserve"> </w:t>
      </w:r>
      <w:r>
        <w:rPr>
          <w:rFonts w:ascii="黑体" w:eastAsia="黑体" w:hAnsi="黑体"/>
          <w:szCs w:val="28"/>
        </w:rPr>
        <w:t>for</w:t>
      </w:r>
      <w:r>
        <w:rPr>
          <w:rFonts w:ascii="黑体" w:eastAsia="黑体" w:hAnsi="黑体" w:hint="eastAsia"/>
          <w:szCs w:val="28"/>
        </w:rPr>
        <w:t xml:space="preserve"> o</w:t>
      </w:r>
      <w:r>
        <w:rPr>
          <w:rFonts w:ascii="黑体" w:eastAsia="黑体" w:hAnsi="黑体"/>
          <w:szCs w:val="28"/>
        </w:rPr>
        <w:t>ffshore</w:t>
      </w:r>
      <w:r>
        <w:rPr>
          <w:rFonts w:ascii="黑体" w:eastAsia="黑体" w:hAnsi="黑体" w:hint="eastAsia"/>
          <w:szCs w:val="28"/>
        </w:rPr>
        <w:t xml:space="preserve"> </w:t>
      </w:r>
      <w:r>
        <w:rPr>
          <w:rFonts w:ascii="黑体" w:eastAsia="黑体" w:hAnsi="黑体"/>
          <w:szCs w:val="28"/>
        </w:rPr>
        <w:t>wind</w:t>
      </w:r>
      <w:r>
        <w:rPr>
          <w:rFonts w:ascii="黑体" w:eastAsia="黑体" w:hAnsi="黑体" w:hint="eastAsia"/>
          <w:szCs w:val="28"/>
        </w:rPr>
        <w:t xml:space="preserve"> </w:t>
      </w:r>
      <w:r>
        <w:rPr>
          <w:rFonts w:ascii="黑体" w:eastAsia="黑体" w:hAnsi="黑体"/>
          <w:szCs w:val="28"/>
        </w:rPr>
        <w:t>farms</w:t>
      </w:r>
      <w:r>
        <w:rPr>
          <w:rFonts w:ascii="黑体" w:eastAsia="黑体" w:hAnsi="黑体"/>
          <w:szCs w:val="28"/>
        </w:rPr>
        <w:fldChar w:fldCharType="end"/>
      </w:r>
      <w:bookmarkEnd w:id="10"/>
    </w:p>
    <w:p w:rsidR="00830835" w:rsidRDefault="00830835">
      <w:pPr>
        <w:framePr w:w="9639" w:h="6974" w:hRule="exact" w:wrap="around" w:vAnchor="page" w:hAnchor="page" w:x="1419" w:y="6408" w:anchorLock="1"/>
        <w:spacing w:line="760" w:lineRule="exact"/>
        <w:ind w:left="-1418"/>
      </w:pPr>
    </w:p>
    <w:p w:rsidR="00830835" w:rsidRDefault="00830835">
      <w:pPr>
        <w:pStyle w:val="afffffff4"/>
        <w:framePr w:w="9639" w:h="6974" w:hRule="exact" w:wrap="around" w:vAnchor="page" w:hAnchor="page" w:x="1419" w:y="6408" w:anchorLock="1"/>
        <w:textAlignment w:val="bottom"/>
        <w:rPr>
          <w:rFonts w:eastAsia="黑体"/>
          <w:szCs w:val="28"/>
        </w:rPr>
      </w:pPr>
    </w:p>
    <w:p w:rsidR="00830835" w:rsidRDefault="002B6BFE">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44F6F">
        <w:rPr>
          <w:sz w:val="24"/>
          <w:szCs w:val="28"/>
        </w:rPr>
      </w:r>
      <w:r w:rsidR="00144F6F">
        <w:rPr>
          <w:sz w:val="24"/>
          <w:szCs w:val="28"/>
        </w:rPr>
        <w:fldChar w:fldCharType="separate"/>
      </w:r>
      <w:r>
        <w:rPr>
          <w:sz w:val="24"/>
          <w:szCs w:val="28"/>
        </w:rPr>
        <w:fldChar w:fldCharType="end"/>
      </w:r>
      <w:bookmarkEnd w:id="11"/>
    </w:p>
    <w:p w:rsidR="00830835" w:rsidRDefault="002B6BFE">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830835" w:rsidRDefault="002B6BFE">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144F6F">
        <w:rPr>
          <w:b/>
          <w:sz w:val="21"/>
          <w:szCs w:val="28"/>
        </w:rPr>
      </w:r>
      <w:r w:rsidR="00144F6F">
        <w:rPr>
          <w:b/>
          <w:sz w:val="21"/>
          <w:szCs w:val="28"/>
        </w:rPr>
        <w:fldChar w:fldCharType="separate"/>
      </w:r>
      <w:r>
        <w:rPr>
          <w:b/>
          <w:sz w:val="21"/>
          <w:szCs w:val="28"/>
        </w:rPr>
        <w:fldChar w:fldCharType="end"/>
      </w:r>
      <w:bookmarkEnd w:id="13"/>
    </w:p>
    <w:p w:rsidR="00830835" w:rsidRDefault="002B6BFE">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830835" w:rsidRDefault="002B6BFE">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830835" w:rsidRDefault="002B6BFE">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830835" w:rsidRDefault="002B6BFE">
      <w:pPr>
        <w:rPr>
          <w:rFonts w:ascii="宋体" w:hAnsi="宋体"/>
          <w:sz w:val="28"/>
          <w:szCs w:val="28"/>
        </w:rPr>
        <w:sectPr w:rsidR="0083083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7097DE9" wp14:editId="3230294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30835" w:rsidRDefault="007D10E7">
      <w:pPr>
        <w:pStyle w:val="affffff6"/>
        <w:spacing w:after="468"/>
      </w:pPr>
      <w:bookmarkStart w:id="21" w:name="BookMark1"/>
      <w:r>
        <w:rPr>
          <w:rFonts w:hint="eastAsia"/>
          <w:spacing w:val="320"/>
        </w:rPr>
        <w:lastRenderedPageBreak/>
        <w:t>目次</w:t>
      </w:r>
    </w:p>
    <w:p w:rsidR="00830835" w:rsidRDefault="002B6BFE">
      <w:pPr>
        <w:pStyle w:val="10"/>
        <w:rPr>
          <w:rFonts w:asciiTheme="minorHAnsi" w:eastAsiaTheme="minorEastAsia" w:hAnsiTheme="minorHAnsi" w:cstheme="minorBidi"/>
          <w:kern w:val="2"/>
          <w:szCs w:val="22"/>
          <w14:ligatures w14:val="standardContextual"/>
        </w:rPr>
      </w:pPr>
      <w:r>
        <w:fldChar w:fldCharType="begin"/>
      </w:r>
      <w:r>
        <w:instrText xml:space="preserve"> TOC \o "1-1" \h \t "标准文件_一级条标题,2,标准文件_附录一级条标题,2," </w:instrText>
      </w:r>
      <w:r>
        <w:fldChar w:fldCharType="separate"/>
      </w:r>
      <w:hyperlink w:anchor="_Toc157436684" w:history="1">
        <w:r>
          <w:rPr>
            <w:rFonts w:hint="eastAsia"/>
          </w:rPr>
          <w:t>前</w:t>
        </w:r>
        <w:r>
          <w:rPr>
            <w:rStyle w:val="affff7"/>
          </w:rPr>
          <w:t>言</w:t>
        </w:r>
        <w:r>
          <w:tab/>
        </w:r>
        <w:r>
          <w:fldChar w:fldCharType="begin"/>
        </w:r>
        <w:r>
          <w:instrText xml:space="preserve"> PAGEREF _Toc157436684 \h </w:instrText>
        </w:r>
        <w:r>
          <w:fldChar w:fldCharType="separate"/>
        </w:r>
        <w:r>
          <w:t>II</w:t>
        </w:r>
        <w:r>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685" w:history="1">
        <w:r w:rsidR="002B6BFE">
          <w:rPr>
            <w:rStyle w:val="affff7"/>
          </w:rPr>
          <w:t>1 范围</w:t>
        </w:r>
        <w:r w:rsidR="002B6BFE">
          <w:tab/>
        </w:r>
        <w:r w:rsidR="002B6BFE">
          <w:fldChar w:fldCharType="begin"/>
        </w:r>
        <w:r w:rsidR="002B6BFE">
          <w:instrText xml:space="preserve"> PAGEREF _Toc157436685 \h </w:instrText>
        </w:r>
        <w:r w:rsidR="002B6BFE">
          <w:fldChar w:fldCharType="separate"/>
        </w:r>
        <w:r w:rsidR="002B6BFE">
          <w:t>1</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686" w:history="1">
        <w:r w:rsidR="002B6BFE">
          <w:rPr>
            <w:rStyle w:val="affff7"/>
          </w:rPr>
          <w:t>2 规范性引用文件</w:t>
        </w:r>
        <w:r w:rsidR="002B6BFE">
          <w:tab/>
        </w:r>
        <w:r w:rsidR="002B6BFE">
          <w:fldChar w:fldCharType="begin"/>
        </w:r>
        <w:r w:rsidR="002B6BFE">
          <w:instrText xml:space="preserve"> PAGEREF _Toc157436686 \h </w:instrText>
        </w:r>
        <w:r w:rsidR="002B6BFE">
          <w:fldChar w:fldCharType="separate"/>
        </w:r>
        <w:r w:rsidR="002B6BFE">
          <w:t>1</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687" w:history="1">
        <w:r w:rsidR="002B6BFE">
          <w:rPr>
            <w:rStyle w:val="affff7"/>
          </w:rPr>
          <w:t>3 术语和定义</w:t>
        </w:r>
        <w:r w:rsidR="002B6BFE">
          <w:tab/>
        </w:r>
        <w:r w:rsidR="002B6BFE">
          <w:fldChar w:fldCharType="begin"/>
        </w:r>
        <w:r w:rsidR="002B6BFE">
          <w:instrText xml:space="preserve"> PAGEREF _Toc157436687 \h </w:instrText>
        </w:r>
        <w:r w:rsidR="002B6BFE">
          <w:fldChar w:fldCharType="separate"/>
        </w:r>
        <w:r w:rsidR="002B6BFE">
          <w:t>1</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688" w:history="1">
        <w:r w:rsidR="002B6BFE">
          <w:rPr>
            <w:rStyle w:val="affff7"/>
          </w:rPr>
          <w:t>4 资料数据</w:t>
        </w:r>
        <w:r w:rsidR="002B6BFE">
          <w:tab/>
        </w:r>
        <w:r w:rsidR="002B6BFE">
          <w:fldChar w:fldCharType="begin"/>
        </w:r>
        <w:r w:rsidR="002B6BFE">
          <w:instrText xml:space="preserve"> PAGEREF _Toc157436688 \h </w:instrText>
        </w:r>
        <w:r w:rsidR="002B6BFE">
          <w:fldChar w:fldCharType="separate"/>
        </w:r>
        <w:r w:rsidR="002B6BFE">
          <w:t>1</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692" w:history="1">
        <w:r w:rsidR="002B6BFE">
          <w:rPr>
            <w:rStyle w:val="affff7"/>
          </w:rPr>
          <w:t>5 系统构成和功能</w:t>
        </w:r>
        <w:r w:rsidR="002B6BFE">
          <w:tab/>
        </w:r>
        <w:r w:rsidR="002B6BFE">
          <w:fldChar w:fldCharType="begin"/>
        </w:r>
        <w:r w:rsidR="002B6BFE">
          <w:instrText xml:space="preserve"> PAGEREF _Toc157436692 \h </w:instrText>
        </w:r>
        <w:r w:rsidR="002B6BFE">
          <w:fldChar w:fldCharType="separate"/>
        </w:r>
        <w:r w:rsidR="002B6BFE">
          <w:t>2</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697" w:history="1">
        <w:r w:rsidR="002B6BFE">
          <w:rPr>
            <w:rStyle w:val="affff7"/>
          </w:rPr>
          <w:t>6 预警</w:t>
        </w:r>
        <w:r w:rsidR="002B6BFE">
          <w:tab/>
        </w:r>
        <w:r w:rsidR="002B6BFE">
          <w:fldChar w:fldCharType="begin"/>
        </w:r>
        <w:r w:rsidR="002B6BFE">
          <w:instrText xml:space="preserve"> PAGEREF _Toc157436697 \h </w:instrText>
        </w:r>
        <w:r w:rsidR="002B6BFE">
          <w:fldChar w:fldCharType="separate"/>
        </w:r>
        <w:r w:rsidR="002B6BFE">
          <w:t>3</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703" w:history="1">
        <w:r w:rsidR="002B6BFE">
          <w:rPr>
            <w:rStyle w:val="affff7"/>
          </w:rPr>
          <w:t>7 运行维护</w:t>
        </w:r>
        <w:r w:rsidR="002B6BFE">
          <w:tab/>
        </w:r>
        <w:r w:rsidR="002B6BFE">
          <w:fldChar w:fldCharType="begin"/>
        </w:r>
        <w:r w:rsidR="002B6BFE">
          <w:instrText xml:space="preserve"> PAGEREF _Toc157436703 \h </w:instrText>
        </w:r>
        <w:r w:rsidR="002B6BFE">
          <w:fldChar w:fldCharType="separate"/>
        </w:r>
        <w:r w:rsidR="002B6BFE">
          <w:t>4</w:t>
        </w:r>
        <w:r w:rsidR="002B6BFE">
          <w:fldChar w:fldCharType="end"/>
        </w:r>
      </w:hyperlink>
    </w:p>
    <w:p w:rsidR="00830835" w:rsidRDefault="00144F6F">
      <w:pPr>
        <w:pStyle w:val="10"/>
        <w:rPr>
          <w:rFonts w:asciiTheme="minorHAnsi" w:eastAsiaTheme="minorEastAsia" w:hAnsiTheme="minorHAnsi" w:cstheme="minorBidi"/>
          <w:kern w:val="2"/>
          <w:szCs w:val="22"/>
          <w14:ligatures w14:val="standardContextual"/>
        </w:rPr>
      </w:pPr>
      <w:hyperlink w:anchor="_Toc157436706" w:history="1">
        <w:r w:rsidR="002B6BFE">
          <w:rPr>
            <w:rFonts w:hint="eastAsia"/>
          </w:rPr>
          <w:t>附录</w:t>
        </w:r>
        <w:r w:rsidR="002B6BFE">
          <w:rPr>
            <w:rStyle w:val="affff7"/>
            <w:spacing w:val="100"/>
          </w:rPr>
          <w:t>A</w:t>
        </w:r>
        <w:r w:rsidR="002B6BFE">
          <w:rPr>
            <w:rStyle w:val="affff7"/>
          </w:rPr>
          <w:t>（资料性）</w:t>
        </w:r>
        <w:r w:rsidR="002B6BFE">
          <w:rPr>
            <w:rStyle w:val="affff7"/>
            <w:rFonts w:hint="eastAsia"/>
          </w:rPr>
          <w:t xml:space="preserve"> </w:t>
        </w:r>
        <w:r w:rsidR="002B6BFE">
          <w:rPr>
            <w:rStyle w:val="affff7"/>
          </w:rPr>
          <w:t>海上风电场雷电预警装置安装示意</w:t>
        </w:r>
        <w:r w:rsidR="002B6BFE">
          <w:tab/>
        </w:r>
        <w:r w:rsidR="002B6BFE">
          <w:fldChar w:fldCharType="begin"/>
        </w:r>
        <w:r w:rsidR="002B6BFE">
          <w:instrText xml:space="preserve"> PAGEREF _Toc157436706 \h </w:instrText>
        </w:r>
        <w:r w:rsidR="002B6BFE">
          <w:fldChar w:fldCharType="separate"/>
        </w:r>
        <w:r w:rsidR="002B6BFE">
          <w:t>5</w:t>
        </w:r>
        <w:r w:rsidR="002B6BFE">
          <w:fldChar w:fldCharType="end"/>
        </w:r>
      </w:hyperlink>
    </w:p>
    <w:p w:rsidR="00830835" w:rsidRDefault="002B6BFE">
      <w:pPr>
        <w:pStyle w:val="affffff6"/>
        <w:spacing w:after="468"/>
        <w:sectPr w:rsidR="0083083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830835" w:rsidRDefault="002B6BFE">
      <w:pPr>
        <w:pStyle w:val="a6"/>
        <w:spacing w:before="900" w:after="468"/>
      </w:pPr>
      <w:bookmarkStart w:id="22" w:name="_Toc157436684"/>
      <w:bookmarkStart w:id="23" w:name="BookMark2"/>
      <w:bookmarkEnd w:id="21"/>
      <w:r>
        <w:rPr>
          <w:spacing w:val="320"/>
        </w:rPr>
        <w:lastRenderedPageBreak/>
        <w:t>前</w:t>
      </w:r>
      <w:r>
        <w:t>言</w:t>
      </w:r>
      <w:bookmarkStart w:id="24" w:name="_GoBack"/>
      <w:bookmarkEnd w:id="22"/>
      <w:bookmarkEnd w:id="24"/>
    </w:p>
    <w:p w:rsidR="00830835" w:rsidRDefault="002B6BFE">
      <w:pPr>
        <w:pStyle w:val="afffff1"/>
        <w:ind w:firstLine="420"/>
      </w:pPr>
      <w:r>
        <w:rPr>
          <w:rFonts w:hint="eastAsia"/>
        </w:rPr>
        <w:t>本文件按照GB/T 1.1—2020《标准化工作导则  第1部分：标准化文件的结构和起草规则》的规定起草。</w:t>
      </w:r>
    </w:p>
    <w:p w:rsidR="00830835" w:rsidRDefault="002B6BFE">
      <w:pPr>
        <w:pStyle w:val="afffff1"/>
        <w:ind w:firstLine="420"/>
      </w:pPr>
      <w:r>
        <w:rPr>
          <w:rFonts w:hint="eastAsia"/>
        </w:rPr>
        <w:t>请注意本文件的某些内容可能涉及专利。本文件的发布机构不承担识别专利的责任。</w:t>
      </w:r>
    </w:p>
    <w:p w:rsidR="00830835" w:rsidRDefault="002B6BFE">
      <w:pPr>
        <w:pStyle w:val="afffff1"/>
        <w:ind w:firstLine="420"/>
      </w:pPr>
      <w:r>
        <w:rPr>
          <w:rFonts w:hint="eastAsia"/>
        </w:rPr>
        <w:t>本文件由江苏省风电装备标准化技术委员会提出并归口。</w:t>
      </w:r>
    </w:p>
    <w:p w:rsidR="00830835" w:rsidRDefault="002B6BFE">
      <w:pPr>
        <w:pStyle w:val="afffff1"/>
        <w:ind w:firstLine="420"/>
      </w:pPr>
      <w:r>
        <w:rPr>
          <w:rFonts w:hint="eastAsia"/>
        </w:rPr>
        <w:t>本文件起草单位：国</w:t>
      </w:r>
      <w:proofErr w:type="gramStart"/>
      <w:r>
        <w:rPr>
          <w:rFonts w:hint="eastAsia"/>
        </w:rPr>
        <w:t>家风电</w:t>
      </w:r>
      <w:proofErr w:type="gramEnd"/>
      <w:r>
        <w:rPr>
          <w:rFonts w:hint="eastAsia"/>
        </w:rPr>
        <w:t>设备质量检验检测中心（江苏）、江苏省气象灾害防御技术中心、金风科技股份有限公司、北京乾源风电科技有限公司、华能国际电力江苏能源开发有限公司清洁能源分公司、中广核新能源投资（深圳）有限公司江苏分公司、</w:t>
      </w:r>
      <w:r w:rsidR="00935A1F" w:rsidRPr="00935A1F">
        <w:rPr>
          <w:rFonts w:hint="eastAsia"/>
        </w:rPr>
        <w:t>中电建新能源集团股份有限公司</w:t>
      </w:r>
      <w:r w:rsidR="00935A1F">
        <w:rPr>
          <w:rFonts w:hint="eastAsia"/>
        </w:rPr>
        <w:t>、</w:t>
      </w:r>
      <w:r>
        <w:rPr>
          <w:rFonts w:hint="eastAsia"/>
        </w:rPr>
        <w:t>中国三峡新能源(集团)股份有限公司江苏分公司、盐城市气象局。</w:t>
      </w:r>
    </w:p>
    <w:p w:rsidR="00830835" w:rsidRDefault="002B6BFE">
      <w:pPr>
        <w:pStyle w:val="afffff1"/>
        <w:ind w:firstLine="420"/>
      </w:pPr>
      <w:r>
        <w:rPr>
          <w:rFonts w:hint="eastAsia"/>
        </w:rPr>
        <w:t>本文件主要起草人：张学军、孙同金、谷群远、焦雪、叶霖、陈立云、庄严、姚中原、张锋、</w:t>
      </w:r>
      <w:r w:rsidR="00935A1F">
        <w:rPr>
          <w:rFonts w:hint="eastAsia"/>
        </w:rPr>
        <w:t>张立鹏、</w:t>
      </w:r>
      <w:r>
        <w:rPr>
          <w:rFonts w:hint="eastAsia"/>
        </w:rPr>
        <w:t>徐卫利、李锐、杨金宝、邱成龙。</w:t>
      </w:r>
    </w:p>
    <w:p w:rsidR="00830835" w:rsidRDefault="00830835">
      <w:pPr>
        <w:pStyle w:val="afffff1"/>
        <w:ind w:firstLine="420"/>
      </w:pPr>
    </w:p>
    <w:p w:rsidR="00830835" w:rsidRDefault="00830835">
      <w:pPr>
        <w:pStyle w:val="afffff1"/>
        <w:ind w:firstLine="420"/>
      </w:pPr>
    </w:p>
    <w:p w:rsidR="00830835" w:rsidRDefault="00830835">
      <w:pPr>
        <w:pStyle w:val="afffff1"/>
        <w:ind w:firstLine="420"/>
      </w:pPr>
    </w:p>
    <w:p w:rsidR="00830835" w:rsidRDefault="00830835">
      <w:pPr>
        <w:pStyle w:val="afffff1"/>
        <w:ind w:firstLine="420"/>
        <w:sectPr w:rsidR="00830835">
          <w:pgSz w:w="11906" w:h="16838"/>
          <w:pgMar w:top="1928" w:right="1134" w:bottom="1134" w:left="1134" w:header="1418" w:footer="1134" w:gutter="284"/>
          <w:pgNumType w:fmt="upperRoman"/>
          <w:cols w:space="425"/>
          <w:formProt w:val="0"/>
          <w:docGrid w:type="lines" w:linePitch="312"/>
        </w:sectPr>
      </w:pPr>
    </w:p>
    <w:p w:rsidR="00830835" w:rsidRDefault="00830835">
      <w:pPr>
        <w:spacing w:line="20" w:lineRule="exact"/>
        <w:jc w:val="center"/>
        <w:rPr>
          <w:rFonts w:ascii="黑体" w:eastAsia="黑体" w:hAnsi="黑体"/>
          <w:sz w:val="32"/>
          <w:szCs w:val="32"/>
        </w:rPr>
      </w:pPr>
      <w:bookmarkStart w:id="25" w:name="BookMark4"/>
      <w:bookmarkEnd w:id="23"/>
    </w:p>
    <w:p w:rsidR="00830835" w:rsidRDefault="00830835">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09CC24FA86C146579746A5ACE5E7F0BC"/>
        </w:placeholder>
      </w:sdtPr>
      <w:sdtEndPr/>
      <w:sdtContent>
        <w:p w:rsidR="00830835" w:rsidRDefault="00935A1F" w:rsidP="00935A1F">
          <w:pPr>
            <w:pStyle w:val="afffffffff4"/>
            <w:spacing w:beforeLines="100" w:before="312" w:afterLines="220" w:after="686"/>
          </w:pPr>
          <w:r>
            <w:rPr>
              <w:rFonts w:hint="eastAsia"/>
            </w:rPr>
            <w:t>海上风电场</w:t>
          </w:r>
          <w:r>
            <w:t xml:space="preserve"> 雷电预警系统技术规范</w:t>
          </w:r>
        </w:p>
      </w:sdtContent>
    </w:sdt>
    <w:p w:rsidR="00830835" w:rsidRDefault="002B6BFE">
      <w:pPr>
        <w:pStyle w:val="affc"/>
        <w:spacing w:before="312" w:after="312"/>
      </w:pPr>
      <w:bookmarkStart w:id="27" w:name="_Toc26986530"/>
      <w:bookmarkStart w:id="28" w:name="_Toc26986771"/>
      <w:bookmarkStart w:id="29" w:name="_Toc97191423"/>
      <w:bookmarkStart w:id="30" w:name="_Toc17233325"/>
      <w:bookmarkStart w:id="31" w:name="_Toc17233333"/>
      <w:bookmarkStart w:id="32" w:name="_Toc24884211"/>
      <w:bookmarkStart w:id="33" w:name="_Toc24884218"/>
      <w:bookmarkStart w:id="34" w:name="_Toc26648465"/>
      <w:bookmarkStart w:id="35" w:name="_Toc26718930"/>
      <w:bookmarkStart w:id="36" w:name="_Toc157436685"/>
      <w:bookmarkEnd w:id="26"/>
      <w:r>
        <w:rPr>
          <w:rFonts w:hint="eastAsia"/>
        </w:rPr>
        <w:t>范围</w:t>
      </w:r>
      <w:bookmarkEnd w:id="27"/>
      <w:bookmarkEnd w:id="28"/>
      <w:bookmarkEnd w:id="29"/>
      <w:bookmarkEnd w:id="30"/>
      <w:bookmarkEnd w:id="31"/>
      <w:bookmarkEnd w:id="32"/>
      <w:bookmarkEnd w:id="33"/>
      <w:bookmarkEnd w:id="34"/>
      <w:bookmarkEnd w:id="35"/>
      <w:bookmarkEnd w:id="36"/>
    </w:p>
    <w:p w:rsidR="00830835" w:rsidRDefault="002B6BFE">
      <w:pPr>
        <w:pStyle w:val="afffff1"/>
        <w:ind w:firstLine="420"/>
      </w:pPr>
      <w:bookmarkStart w:id="37" w:name="_Toc17233334"/>
      <w:bookmarkStart w:id="38" w:name="_Toc17233326"/>
      <w:bookmarkStart w:id="39" w:name="_Toc24884212"/>
      <w:bookmarkStart w:id="40" w:name="_Toc24884219"/>
      <w:bookmarkStart w:id="41" w:name="_Toc26648466"/>
      <w:r>
        <w:rPr>
          <w:rFonts w:hint="eastAsia"/>
        </w:rPr>
        <w:t>本文件规定了海上风电场雷电预警系统的数据资料、系统构成和功能以及预警和运行维护要求。</w:t>
      </w:r>
    </w:p>
    <w:p w:rsidR="00830835" w:rsidRDefault="002B6BFE">
      <w:pPr>
        <w:pStyle w:val="afffff1"/>
        <w:ind w:firstLine="420"/>
      </w:pPr>
      <w:r>
        <w:rPr>
          <w:rFonts w:hint="eastAsia"/>
        </w:rPr>
        <w:t>本文件适用于海上风电场的雷电预警系统。</w:t>
      </w:r>
    </w:p>
    <w:p w:rsidR="00830835" w:rsidRDefault="002B6BFE">
      <w:pPr>
        <w:pStyle w:val="affc"/>
        <w:spacing w:before="312" w:after="312"/>
      </w:pPr>
      <w:bookmarkStart w:id="42" w:name="_Toc26986531"/>
      <w:bookmarkStart w:id="43" w:name="_Toc26986772"/>
      <w:bookmarkStart w:id="44" w:name="_Toc97191424"/>
      <w:bookmarkStart w:id="45" w:name="_Toc26718931"/>
      <w:bookmarkStart w:id="46" w:name="_Toc157436686"/>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185AF9CADC184DD9832B0F27A98616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30835" w:rsidRDefault="002B6BFE">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30835" w:rsidRDefault="002B6BFE">
      <w:pPr>
        <w:pStyle w:val="afffff1"/>
        <w:ind w:firstLine="420"/>
      </w:pPr>
      <w:r>
        <w:t>GB/T 2423</w:t>
      </w:r>
      <w:r>
        <w:rPr>
          <w:rFonts w:hint="eastAsia"/>
        </w:rPr>
        <w:t>.4  电工电子产品环境试验 第2部分：试验方法 试验Db 交变湿热（12h＋12h循环）</w:t>
      </w:r>
    </w:p>
    <w:p w:rsidR="00830835" w:rsidRDefault="002B6BFE">
      <w:pPr>
        <w:pStyle w:val="afffff1"/>
        <w:ind w:firstLine="420"/>
      </w:pPr>
      <w:r>
        <w:t>GB/T 2423</w:t>
      </w:r>
      <w:r>
        <w:rPr>
          <w:rFonts w:hint="eastAsia"/>
        </w:rPr>
        <w:t>.16  环境试验 第2部分：试验方法 试验J和</w:t>
      </w:r>
      <w:proofErr w:type="gramStart"/>
      <w:r>
        <w:rPr>
          <w:rFonts w:hint="eastAsia"/>
        </w:rPr>
        <w:t>导则</w:t>
      </w:r>
      <w:proofErr w:type="gramEnd"/>
      <w:r>
        <w:rPr>
          <w:rFonts w:hint="eastAsia"/>
        </w:rPr>
        <w:t>：长霉</w:t>
      </w:r>
    </w:p>
    <w:p w:rsidR="00830835" w:rsidRDefault="002B6BFE">
      <w:pPr>
        <w:pStyle w:val="afffff1"/>
        <w:ind w:firstLine="420"/>
      </w:pPr>
      <w:r>
        <w:t>GB/T 242</w:t>
      </w:r>
      <w:r>
        <w:rPr>
          <w:rFonts w:hint="eastAsia"/>
        </w:rPr>
        <w:t>3.</w:t>
      </w:r>
      <w:r>
        <w:t>18</w:t>
      </w:r>
      <w:r>
        <w:rPr>
          <w:rFonts w:hint="eastAsia"/>
        </w:rPr>
        <w:t xml:space="preserve">  环境试验 第2部分：试验方法 试验Kb：盐雾，交变（氯化钠溶液）</w:t>
      </w:r>
    </w:p>
    <w:p w:rsidR="00830835" w:rsidRDefault="002B6BFE">
      <w:pPr>
        <w:pStyle w:val="afffff1"/>
        <w:ind w:firstLine="420"/>
      </w:pPr>
      <w:r>
        <w:rPr>
          <w:rFonts w:hint="eastAsia"/>
        </w:rPr>
        <w:t>GB/T 4208  外壳防护等级（IP代码）</w:t>
      </w:r>
    </w:p>
    <w:p w:rsidR="00830835" w:rsidRDefault="002B6BFE">
      <w:pPr>
        <w:pStyle w:val="afffff1"/>
        <w:ind w:firstLine="420"/>
      </w:pPr>
      <w:r>
        <w:rPr>
          <w:rFonts w:hint="eastAsia"/>
        </w:rPr>
        <w:t>GB/T 38121  雷电防护 雷暴预警系统</w:t>
      </w:r>
    </w:p>
    <w:p w:rsidR="00830835" w:rsidRDefault="002B6BFE">
      <w:pPr>
        <w:pStyle w:val="afffff1"/>
        <w:ind w:firstLine="420"/>
      </w:pPr>
      <w:r>
        <w:rPr>
          <w:rFonts w:hint="eastAsia"/>
        </w:rPr>
        <w:t>QX/T 262</w:t>
      </w:r>
      <w:r>
        <w:rPr>
          <w:rFonts w:hAnsi="宋体" w:hint="eastAsia"/>
        </w:rPr>
        <w:t>-2015</w:t>
      </w:r>
      <w:r>
        <w:rPr>
          <w:rFonts w:hint="eastAsia"/>
        </w:rPr>
        <w:t xml:space="preserve">  雷电临近预警技术指南</w:t>
      </w:r>
    </w:p>
    <w:p w:rsidR="00830835" w:rsidRDefault="002B6BFE">
      <w:pPr>
        <w:pStyle w:val="afffff1"/>
        <w:ind w:firstLine="420"/>
      </w:pPr>
      <w:r>
        <w:rPr>
          <w:rFonts w:hint="eastAsia"/>
        </w:rPr>
        <w:t>QX/T 405-2017  雷电灾害风险区划技术指南</w:t>
      </w:r>
    </w:p>
    <w:p w:rsidR="00830835" w:rsidRDefault="002B6BFE">
      <w:pPr>
        <w:pStyle w:val="afffff1"/>
        <w:ind w:firstLine="420"/>
      </w:pPr>
      <w:r>
        <w:rPr>
          <w:rFonts w:hint="eastAsia"/>
        </w:rPr>
        <w:t>QX/T 621 气象观测资料质量控制 天气雷达</w:t>
      </w:r>
    </w:p>
    <w:p w:rsidR="00830835" w:rsidRDefault="002B6BFE">
      <w:pPr>
        <w:pStyle w:val="affc"/>
        <w:spacing w:before="312" w:after="312"/>
      </w:pPr>
      <w:bookmarkStart w:id="47" w:name="_Toc97191425"/>
      <w:bookmarkStart w:id="48" w:name="_Toc157436687"/>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8CDD389B5A7542A6A7B6F84AC342F6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30835" w:rsidRDefault="002B6BFE">
          <w:pPr>
            <w:pStyle w:val="afffff1"/>
            <w:ind w:firstLine="420"/>
          </w:pPr>
          <w:r>
            <w:t>GB/T 38121界定的以及下列术语和定义适用于本文件。</w:t>
          </w:r>
        </w:p>
      </w:sdtContent>
    </w:sdt>
    <w:p w:rsidR="00830835" w:rsidRDefault="002B6BFE">
      <w:pPr>
        <w:pStyle w:val="afffffffffff0"/>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雷闪</w:t>
      </w:r>
      <w:proofErr w:type="gramEnd"/>
      <w:r>
        <w:rPr>
          <w:rFonts w:ascii="黑体" w:eastAsia="黑体" w:hAnsi="黑体" w:hint="eastAsia"/>
        </w:rPr>
        <w:t xml:space="preserve">  lightning flash</w:t>
      </w:r>
    </w:p>
    <w:p w:rsidR="00830835" w:rsidRDefault="002B6BFE">
      <w:pPr>
        <w:pStyle w:val="afffff1"/>
        <w:ind w:firstLine="420"/>
      </w:pPr>
      <w:r>
        <w:rPr>
          <w:rFonts w:hint="eastAsia"/>
        </w:rPr>
        <w:t xml:space="preserve">大气中发生一次或以上闪击的放电现象。 </w:t>
      </w:r>
    </w:p>
    <w:p w:rsidR="00830835" w:rsidRDefault="002B6BFE">
      <w:pPr>
        <w:pStyle w:val="afffff1"/>
        <w:ind w:firstLine="420"/>
      </w:pPr>
      <w:r>
        <w:rPr>
          <w:rFonts w:hint="eastAsia"/>
        </w:rPr>
        <w:t>注：放电现象可发生在云内、云对云、云对大气、以及云对地之间。</w:t>
      </w:r>
    </w:p>
    <w:p w:rsidR="00830835" w:rsidRDefault="002B6BFE">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 xml:space="preserve">监测区域  monitoring area </w:t>
      </w:r>
    </w:p>
    <w:p w:rsidR="00830835" w:rsidRDefault="002B6BFE">
      <w:pPr>
        <w:pStyle w:val="afffff1"/>
        <w:ind w:firstLine="420"/>
      </w:pPr>
      <w:r>
        <w:rPr>
          <w:rFonts w:hint="eastAsia"/>
        </w:rPr>
        <w:t>能监测到雷电活动以便对目标区域进行有效预警的地理区域。</w:t>
      </w:r>
    </w:p>
    <w:p w:rsidR="00830835" w:rsidRDefault="002B6BFE">
      <w:pPr>
        <w:pStyle w:val="affc"/>
        <w:spacing w:before="312" w:after="312"/>
      </w:pPr>
      <w:bookmarkStart w:id="50" w:name="_Toc157436688"/>
      <w:r>
        <w:rPr>
          <w:rFonts w:hint="eastAsia"/>
        </w:rPr>
        <w:t>资料数据</w:t>
      </w:r>
      <w:bookmarkEnd w:id="50"/>
    </w:p>
    <w:p w:rsidR="00830835" w:rsidRDefault="002B6BFE">
      <w:pPr>
        <w:pStyle w:val="affd"/>
        <w:spacing w:before="156" w:after="156"/>
      </w:pPr>
      <w:bookmarkStart w:id="51" w:name="_Toc157436689"/>
      <w:bookmarkStart w:id="52" w:name="_Toc156647783"/>
      <w:bookmarkStart w:id="53" w:name="_Toc122944764"/>
      <w:r>
        <w:rPr>
          <w:rFonts w:hint="eastAsia"/>
        </w:rPr>
        <w:t>基本原则</w:t>
      </w:r>
      <w:bookmarkEnd w:id="51"/>
      <w:bookmarkEnd w:id="52"/>
      <w:bookmarkEnd w:id="53"/>
    </w:p>
    <w:p w:rsidR="00830835" w:rsidRDefault="002B6BFE">
      <w:pPr>
        <w:pStyle w:val="afffff1"/>
        <w:ind w:firstLine="420"/>
      </w:pPr>
      <w:r>
        <w:rPr>
          <w:rFonts w:hint="eastAsia"/>
        </w:rPr>
        <w:t>海上风电场雷电预警系统所采用的资料数据遵循实时性、可靠性、易获取的原则。</w:t>
      </w:r>
    </w:p>
    <w:p w:rsidR="00830835" w:rsidRDefault="002B6BFE">
      <w:pPr>
        <w:pStyle w:val="affd"/>
        <w:spacing w:before="156" w:after="156"/>
      </w:pPr>
      <w:bookmarkStart w:id="54" w:name="_Toc122944765"/>
      <w:bookmarkStart w:id="55" w:name="_Toc157436690"/>
      <w:bookmarkStart w:id="56" w:name="_Toc156647784"/>
      <w:r>
        <w:rPr>
          <w:rFonts w:hint="eastAsia"/>
        </w:rPr>
        <w:t>数据类型</w:t>
      </w:r>
      <w:bookmarkEnd w:id="54"/>
      <w:bookmarkEnd w:id="55"/>
      <w:bookmarkEnd w:id="56"/>
    </w:p>
    <w:p w:rsidR="00830835" w:rsidRDefault="002B6BFE">
      <w:pPr>
        <w:pStyle w:val="afffff1"/>
        <w:ind w:firstLine="420"/>
      </w:pPr>
      <w:r>
        <w:rPr>
          <w:rFonts w:hint="eastAsia"/>
        </w:rPr>
        <w:t>海上风电场雷电预警系统应综合使用大气电场、闪电定位和气象雷达资料，</w:t>
      </w:r>
      <w:proofErr w:type="gramStart"/>
      <w:r>
        <w:rPr>
          <w:rFonts w:hint="eastAsia"/>
        </w:rPr>
        <w:t>各资料</w:t>
      </w:r>
      <w:proofErr w:type="gramEnd"/>
      <w:r>
        <w:rPr>
          <w:rFonts w:hint="eastAsia"/>
        </w:rPr>
        <w:t>要求见表1，海上风电场雷电预警相关设备安装位置参见附录A。</w:t>
      </w:r>
    </w:p>
    <w:p w:rsidR="00830835" w:rsidRDefault="002B6BFE">
      <w:pPr>
        <w:pStyle w:val="aff2"/>
        <w:spacing w:before="156" w:after="156"/>
      </w:pPr>
      <w:r>
        <w:rPr>
          <w:rFonts w:hint="eastAsia"/>
        </w:rPr>
        <w:lastRenderedPageBreak/>
        <w:t>风电场雷电预警系统资料数据</w:t>
      </w:r>
    </w:p>
    <w:tbl>
      <w:tblPr>
        <w:tblStyle w:val="affff3"/>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830835">
        <w:trPr>
          <w:tblHeader/>
          <w:jc w:val="center"/>
        </w:trPr>
        <w:tc>
          <w:tcPr>
            <w:tcW w:w="3124" w:type="dxa"/>
            <w:tcBorders>
              <w:top w:val="single" w:sz="8" w:space="0" w:color="auto"/>
              <w:bottom w:val="single" w:sz="8" w:space="0" w:color="auto"/>
            </w:tcBorders>
            <w:shd w:val="clear" w:color="auto" w:fill="auto"/>
            <w:vAlign w:val="center"/>
          </w:tcPr>
          <w:p w:rsidR="00830835" w:rsidRDefault="002B6BFE">
            <w:pPr>
              <w:pStyle w:val="afffffffff5"/>
            </w:pPr>
            <w:r>
              <w:rPr>
                <w:rFonts w:hint="eastAsia"/>
              </w:rPr>
              <w:t>资料种类</w:t>
            </w:r>
          </w:p>
        </w:tc>
        <w:tc>
          <w:tcPr>
            <w:tcW w:w="3125" w:type="dxa"/>
            <w:tcBorders>
              <w:top w:val="single" w:sz="8" w:space="0" w:color="auto"/>
              <w:bottom w:val="single" w:sz="8" w:space="0" w:color="auto"/>
            </w:tcBorders>
            <w:shd w:val="clear" w:color="auto" w:fill="auto"/>
            <w:vAlign w:val="center"/>
          </w:tcPr>
          <w:p w:rsidR="00830835" w:rsidRDefault="002B6BFE">
            <w:pPr>
              <w:pStyle w:val="afffffffff5"/>
            </w:pPr>
            <w:r>
              <w:rPr>
                <w:rFonts w:hint="eastAsia"/>
              </w:rPr>
              <w:t>数据</w:t>
            </w:r>
          </w:p>
        </w:tc>
        <w:tc>
          <w:tcPr>
            <w:tcW w:w="3125" w:type="dxa"/>
            <w:tcBorders>
              <w:top w:val="single" w:sz="8" w:space="0" w:color="auto"/>
              <w:bottom w:val="single" w:sz="8" w:space="0" w:color="auto"/>
            </w:tcBorders>
            <w:vAlign w:val="center"/>
          </w:tcPr>
          <w:p w:rsidR="00830835" w:rsidRDefault="002B6BFE">
            <w:pPr>
              <w:pStyle w:val="afffffffffff6"/>
              <w:spacing w:line="360" w:lineRule="auto"/>
              <w:ind w:firstLineChars="0" w:firstLine="0"/>
              <w:jc w:val="center"/>
              <w:rPr>
                <w:rFonts w:ascii="黑体" w:eastAsia="黑体" w:hAnsi="黑体" w:cs="Arial"/>
                <w:sz w:val="20"/>
                <w:szCs w:val="21"/>
              </w:rPr>
            </w:pPr>
            <w:r>
              <w:rPr>
                <w:rFonts w:ascii="黑体" w:eastAsia="黑体" w:hAnsi="黑体" w:cs="Arial" w:hint="eastAsia"/>
                <w:sz w:val="20"/>
                <w:szCs w:val="21"/>
              </w:rPr>
              <w:t>备注</w:t>
            </w:r>
          </w:p>
        </w:tc>
      </w:tr>
      <w:tr w:rsidR="00830835">
        <w:trPr>
          <w:jc w:val="center"/>
        </w:trPr>
        <w:tc>
          <w:tcPr>
            <w:tcW w:w="3124" w:type="dxa"/>
            <w:tcBorders>
              <w:top w:val="single" w:sz="8" w:space="0" w:color="auto"/>
            </w:tcBorders>
            <w:shd w:val="clear" w:color="auto" w:fill="auto"/>
            <w:vAlign w:val="center"/>
          </w:tcPr>
          <w:p w:rsidR="00830835" w:rsidRDefault="002B6BFE">
            <w:pPr>
              <w:pStyle w:val="afffffffff5"/>
            </w:pPr>
            <w:r>
              <w:rPr>
                <w:rFonts w:hint="eastAsia"/>
              </w:rPr>
              <w:t>大气电场资料</w:t>
            </w:r>
          </w:p>
        </w:tc>
        <w:tc>
          <w:tcPr>
            <w:tcW w:w="3125" w:type="dxa"/>
            <w:tcBorders>
              <w:top w:val="single" w:sz="8" w:space="0" w:color="auto"/>
            </w:tcBorders>
            <w:shd w:val="clear" w:color="auto" w:fill="auto"/>
            <w:vAlign w:val="center"/>
          </w:tcPr>
          <w:p w:rsidR="00830835" w:rsidRDefault="002B6BFE">
            <w:pPr>
              <w:pStyle w:val="afffffffffff6"/>
              <w:ind w:firstLineChars="0" w:firstLine="0"/>
              <w:jc w:val="center"/>
              <w:rPr>
                <w:rFonts w:ascii="宋体" w:hAnsi="宋体"/>
                <w:sz w:val="18"/>
                <w:szCs w:val="20"/>
              </w:rPr>
            </w:pPr>
            <w:r>
              <w:rPr>
                <w:rFonts w:ascii="宋体" w:hAnsi="宋体" w:hint="eastAsia"/>
                <w:sz w:val="18"/>
                <w:szCs w:val="20"/>
              </w:rPr>
              <w:t>变化率</w:t>
            </w:r>
          </w:p>
        </w:tc>
        <w:tc>
          <w:tcPr>
            <w:tcW w:w="3125" w:type="dxa"/>
            <w:tcBorders>
              <w:top w:val="single" w:sz="8" w:space="0" w:color="auto"/>
            </w:tcBorders>
            <w:vAlign w:val="center"/>
          </w:tcPr>
          <w:p w:rsidR="00830835" w:rsidRDefault="002B6BFE">
            <w:pPr>
              <w:jc w:val="center"/>
              <w:rPr>
                <w:rFonts w:ascii="宋体" w:hAnsi="宋体"/>
                <w:sz w:val="18"/>
                <w:szCs w:val="20"/>
              </w:rPr>
            </w:pPr>
            <w:r>
              <w:rPr>
                <w:rFonts w:ascii="宋体" w:hAnsi="宋体" w:hint="eastAsia"/>
                <w:sz w:val="18"/>
                <w:szCs w:val="20"/>
              </w:rPr>
              <w:t>——</w:t>
            </w:r>
          </w:p>
        </w:tc>
      </w:tr>
      <w:tr w:rsidR="00830835">
        <w:trPr>
          <w:jc w:val="center"/>
        </w:trPr>
        <w:tc>
          <w:tcPr>
            <w:tcW w:w="3124" w:type="dxa"/>
            <w:shd w:val="clear" w:color="auto" w:fill="auto"/>
            <w:vAlign w:val="center"/>
          </w:tcPr>
          <w:p w:rsidR="00830835" w:rsidRDefault="002B6BFE">
            <w:pPr>
              <w:pStyle w:val="afffffffff5"/>
            </w:pPr>
            <w:r>
              <w:rPr>
                <w:rFonts w:hint="eastAsia"/>
              </w:rPr>
              <w:t>闪点定位资料</w:t>
            </w:r>
          </w:p>
        </w:tc>
        <w:tc>
          <w:tcPr>
            <w:tcW w:w="3125" w:type="dxa"/>
            <w:shd w:val="clear" w:color="auto" w:fill="auto"/>
            <w:vAlign w:val="center"/>
          </w:tcPr>
          <w:p w:rsidR="00830835" w:rsidRDefault="002B6BFE">
            <w:pPr>
              <w:pStyle w:val="afffffffffff6"/>
              <w:ind w:firstLineChars="0" w:firstLine="0"/>
              <w:jc w:val="center"/>
              <w:rPr>
                <w:rFonts w:ascii="宋体" w:hAnsi="宋体"/>
                <w:sz w:val="18"/>
                <w:szCs w:val="20"/>
              </w:rPr>
            </w:pPr>
            <w:r>
              <w:rPr>
                <w:rFonts w:ascii="宋体" w:hAnsi="宋体" w:hint="eastAsia"/>
                <w:sz w:val="18"/>
                <w:szCs w:val="20"/>
              </w:rPr>
              <w:t>回击经度、纬度、强度</w:t>
            </w:r>
          </w:p>
        </w:tc>
        <w:tc>
          <w:tcPr>
            <w:tcW w:w="3125" w:type="dxa"/>
            <w:vAlign w:val="center"/>
          </w:tcPr>
          <w:p w:rsidR="00830835" w:rsidRDefault="002B6BFE">
            <w:pPr>
              <w:jc w:val="center"/>
              <w:rPr>
                <w:rFonts w:ascii="宋体" w:hAnsi="宋体"/>
                <w:sz w:val="18"/>
                <w:szCs w:val="20"/>
              </w:rPr>
            </w:pPr>
            <w:r>
              <w:rPr>
                <w:rFonts w:ascii="宋体" w:hAnsi="宋体" w:hint="eastAsia"/>
                <w:sz w:val="18"/>
                <w:szCs w:val="20"/>
              </w:rPr>
              <w:t>——</w:t>
            </w:r>
          </w:p>
        </w:tc>
      </w:tr>
      <w:tr w:rsidR="00830835">
        <w:trPr>
          <w:jc w:val="center"/>
        </w:trPr>
        <w:tc>
          <w:tcPr>
            <w:tcW w:w="3124" w:type="dxa"/>
            <w:shd w:val="clear" w:color="auto" w:fill="auto"/>
            <w:vAlign w:val="center"/>
          </w:tcPr>
          <w:p w:rsidR="00830835" w:rsidRDefault="002B6BFE">
            <w:pPr>
              <w:pStyle w:val="afffffffff5"/>
            </w:pPr>
            <w:r>
              <w:rPr>
                <w:rFonts w:hint="eastAsia"/>
              </w:rPr>
              <w:t>雷达资料</w:t>
            </w:r>
          </w:p>
        </w:tc>
        <w:tc>
          <w:tcPr>
            <w:tcW w:w="3125" w:type="dxa"/>
            <w:shd w:val="clear" w:color="auto" w:fill="auto"/>
            <w:vAlign w:val="center"/>
          </w:tcPr>
          <w:p w:rsidR="00830835" w:rsidRDefault="002B6BFE">
            <w:pPr>
              <w:pStyle w:val="afffffffffff6"/>
              <w:ind w:firstLineChars="0" w:firstLine="0"/>
              <w:jc w:val="center"/>
              <w:rPr>
                <w:rFonts w:ascii="黑体" w:eastAsia="黑体" w:hAnsi="黑体" w:cs="Arial"/>
                <w:sz w:val="20"/>
                <w:szCs w:val="21"/>
              </w:rPr>
            </w:pPr>
            <w:r>
              <w:rPr>
                <w:rFonts w:ascii="宋体" w:hAnsi="宋体" w:hint="eastAsia"/>
                <w:sz w:val="18"/>
                <w:szCs w:val="20"/>
              </w:rPr>
              <w:t>回波强度、回波顶高</w:t>
            </w:r>
          </w:p>
        </w:tc>
        <w:tc>
          <w:tcPr>
            <w:tcW w:w="3125" w:type="dxa"/>
            <w:vAlign w:val="center"/>
          </w:tcPr>
          <w:p w:rsidR="00830835" w:rsidRDefault="002B6BFE">
            <w:pPr>
              <w:jc w:val="left"/>
              <w:rPr>
                <w:rFonts w:ascii="宋体" w:hAnsi="宋体"/>
                <w:sz w:val="18"/>
                <w:szCs w:val="20"/>
              </w:rPr>
            </w:pPr>
            <w:r>
              <w:rPr>
                <w:rFonts w:ascii="宋体" w:hAnsi="宋体" w:hint="eastAsia"/>
                <w:sz w:val="18"/>
                <w:szCs w:val="20"/>
              </w:rPr>
              <w:t>原始数据需经格点化处理成按等经纬网格排列的数据。</w:t>
            </w:r>
          </w:p>
        </w:tc>
      </w:tr>
    </w:tbl>
    <w:p w:rsidR="00830835" w:rsidRDefault="002B6BFE">
      <w:pPr>
        <w:pStyle w:val="affd"/>
        <w:spacing w:before="156" w:after="156"/>
      </w:pPr>
      <w:bookmarkStart w:id="57" w:name="_Toc122944766"/>
      <w:bookmarkStart w:id="58" w:name="_Toc156647785"/>
      <w:bookmarkStart w:id="59" w:name="_Toc157436691"/>
      <w:r>
        <w:rPr>
          <w:rFonts w:hint="eastAsia"/>
        </w:rPr>
        <w:t>数据质量控制</w:t>
      </w:r>
      <w:bookmarkEnd w:id="57"/>
      <w:bookmarkEnd w:id="58"/>
      <w:bookmarkEnd w:id="59"/>
    </w:p>
    <w:p w:rsidR="00830835" w:rsidRDefault="002B6BFE">
      <w:pPr>
        <w:pStyle w:val="affe"/>
        <w:spacing w:before="156" w:after="156"/>
        <w:rPr>
          <w:rFonts w:ascii="宋体" w:eastAsia="宋体" w:hAnsi="宋体"/>
        </w:rPr>
      </w:pPr>
      <w:r>
        <w:rPr>
          <w:rFonts w:ascii="宋体" w:eastAsia="宋体" w:hAnsi="宋体" w:hint="eastAsia"/>
        </w:rPr>
        <w:t>大气电场数据宜进行现场标校。</w:t>
      </w:r>
    </w:p>
    <w:p w:rsidR="00830835" w:rsidRDefault="002B6BFE">
      <w:pPr>
        <w:pStyle w:val="affe"/>
        <w:spacing w:before="156" w:after="156"/>
        <w:rPr>
          <w:rFonts w:ascii="宋体" w:eastAsia="宋体" w:hAnsi="宋体"/>
          <w:szCs w:val="21"/>
        </w:rPr>
      </w:pPr>
      <w:r>
        <w:rPr>
          <w:rFonts w:ascii="宋体" w:eastAsia="宋体" w:hAnsi="宋体" w:hint="eastAsia"/>
          <w:szCs w:val="21"/>
        </w:rPr>
        <w:t>闪电定位数据</w:t>
      </w:r>
      <w:r>
        <w:rPr>
          <w:rFonts w:ascii="宋体" w:eastAsia="宋体" w:hAnsi="宋体" w:hint="eastAsia"/>
        </w:rPr>
        <w:t>宜</w:t>
      </w:r>
      <w:r>
        <w:rPr>
          <w:rFonts w:ascii="宋体" w:eastAsia="宋体" w:hAnsi="宋体" w:hint="eastAsia"/>
          <w:szCs w:val="21"/>
        </w:rPr>
        <w:t>按QX</w:t>
      </w:r>
      <w:r>
        <w:rPr>
          <w:rFonts w:ascii="宋体" w:eastAsia="宋体" w:hAnsi="宋体"/>
          <w:szCs w:val="21"/>
        </w:rPr>
        <w:t>/</w:t>
      </w:r>
      <w:r>
        <w:rPr>
          <w:rFonts w:ascii="宋体" w:eastAsia="宋体" w:hAnsi="宋体" w:hint="eastAsia"/>
          <w:szCs w:val="21"/>
        </w:rPr>
        <w:t>T 405-2017中</w:t>
      </w:r>
      <w:r>
        <w:rPr>
          <w:rFonts w:ascii="宋体" w:eastAsia="宋体" w:hAnsi="宋体"/>
          <w:szCs w:val="21"/>
        </w:rPr>
        <w:t>5.2.2.1</w:t>
      </w:r>
      <w:r>
        <w:rPr>
          <w:rFonts w:ascii="宋体" w:eastAsia="宋体" w:hAnsi="宋体" w:hint="eastAsia"/>
          <w:szCs w:val="21"/>
        </w:rPr>
        <w:t>的要求</w:t>
      </w:r>
      <w:r>
        <w:rPr>
          <w:rFonts w:ascii="宋体" w:eastAsia="宋体" w:hAnsi="宋体"/>
          <w:szCs w:val="21"/>
        </w:rPr>
        <w:t>进</w:t>
      </w:r>
      <w:r>
        <w:rPr>
          <w:rFonts w:ascii="宋体" w:eastAsia="宋体" w:hAnsi="宋体" w:hint="eastAsia"/>
          <w:szCs w:val="21"/>
        </w:rPr>
        <w:t>行质量控制。</w:t>
      </w:r>
    </w:p>
    <w:p w:rsidR="00830835" w:rsidRDefault="002B6BFE">
      <w:pPr>
        <w:pStyle w:val="affe"/>
        <w:spacing w:before="156" w:after="156"/>
        <w:rPr>
          <w:rFonts w:ascii="宋体" w:eastAsia="宋体" w:hAnsi="宋体"/>
        </w:rPr>
      </w:pPr>
      <w:r>
        <w:rPr>
          <w:rFonts w:ascii="宋体" w:eastAsia="宋体" w:hAnsi="宋体" w:hint="eastAsia"/>
        </w:rPr>
        <w:t>雷达资料应按QX/T 621中的要求进行质量控制。</w:t>
      </w:r>
    </w:p>
    <w:p w:rsidR="00830835" w:rsidRDefault="002B6BFE">
      <w:pPr>
        <w:pStyle w:val="affc"/>
        <w:spacing w:before="312" w:after="312"/>
      </w:pPr>
      <w:bookmarkStart w:id="60" w:name="_Toc157436692"/>
      <w:r>
        <w:rPr>
          <w:rFonts w:hint="eastAsia"/>
        </w:rPr>
        <w:t>系统构成和功能</w:t>
      </w:r>
      <w:bookmarkEnd w:id="60"/>
    </w:p>
    <w:p w:rsidR="00830835" w:rsidRDefault="002B6BFE">
      <w:pPr>
        <w:pStyle w:val="affd"/>
        <w:spacing w:before="156" w:after="156"/>
      </w:pPr>
      <w:bookmarkStart w:id="61" w:name="_Toc157436693"/>
      <w:bookmarkStart w:id="62" w:name="_Toc122944768"/>
      <w:bookmarkStart w:id="63" w:name="_Toc156647787"/>
      <w:r>
        <w:rPr>
          <w:rFonts w:hint="eastAsia"/>
        </w:rPr>
        <w:t>系统构成</w:t>
      </w:r>
      <w:bookmarkEnd w:id="61"/>
      <w:bookmarkEnd w:id="62"/>
      <w:bookmarkEnd w:id="63"/>
    </w:p>
    <w:p w:rsidR="00830835" w:rsidRDefault="002B6BFE">
      <w:pPr>
        <w:pStyle w:val="afffff1"/>
        <w:ind w:firstLine="420"/>
        <w:rPr>
          <w:rFonts w:hAnsi="宋体"/>
        </w:rPr>
      </w:pPr>
      <w:r>
        <w:rPr>
          <w:rFonts w:hAnsi="宋体" w:hint="eastAsia"/>
        </w:rPr>
        <w:t>风电场雷电预警系统宜包括：</w:t>
      </w:r>
    </w:p>
    <w:p w:rsidR="00830835" w:rsidRDefault="002B6BFE">
      <w:pPr>
        <w:pStyle w:val="afffff1"/>
        <w:ind w:firstLine="420"/>
        <w:rPr>
          <w:rFonts w:hAnsi="宋体"/>
        </w:rPr>
      </w:pPr>
      <w:r>
        <w:rPr>
          <w:rFonts w:hAnsi="宋体" w:hint="eastAsia"/>
        </w:rPr>
        <w:t>——雷电探测模块：含大气电场仪、闪电定位系统、气象雷达等。</w:t>
      </w:r>
    </w:p>
    <w:p w:rsidR="00830835" w:rsidRDefault="002B6BFE">
      <w:pPr>
        <w:pStyle w:val="afffff1"/>
        <w:ind w:firstLine="420"/>
      </w:pPr>
      <w:r>
        <w:rPr>
          <w:rFonts w:hAnsi="宋体" w:hint="eastAsia"/>
        </w:rPr>
        <w:t>——</w:t>
      </w:r>
      <w:r>
        <w:rPr>
          <w:rFonts w:hint="eastAsia"/>
        </w:rPr>
        <w:t>数据处理模块：配置支持雷电探测数据的通信、接收、存储、计算与应用发布的硬件和软件。</w:t>
      </w:r>
    </w:p>
    <w:p w:rsidR="00830835" w:rsidRDefault="002B6BFE">
      <w:pPr>
        <w:pStyle w:val="afffff1"/>
        <w:ind w:firstLine="420"/>
      </w:pPr>
      <w:r>
        <w:rPr>
          <w:rFonts w:hAnsi="宋体" w:hint="eastAsia"/>
        </w:rPr>
        <w:t>——</w:t>
      </w:r>
      <w:r>
        <w:rPr>
          <w:rFonts w:hint="eastAsia"/>
        </w:rPr>
        <w:t>用户端：</w:t>
      </w:r>
      <w:proofErr w:type="gramStart"/>
      <w:r>
        <w:rPr>
          <w:rFonts w:hint="eastAsia"/>
        </w:rPr>
        <w:t>含电脑端</w:t>
      </w:r>
      <w:proofErr w:type="gramEnd"/>
      <w:r>
        <w:rPr>
          <w:rFonts w:hint="eastAsia"/>
        </w:rPr>
        <w:t>、移动端、数据接口服务等一种或多种雷电预警信息接收端。</w:t>
      </w:r>
    </w:p>
    <w:p w:rsidR="00830835" w:rsidRDefault="002B6BFE">
      <w:pPr>
        <w:pStyle w:val="affd"/>
        <w:spacing w:before="156" w:after="156"/>
      </w:pPr>
      <w:bookmarkStart w:id="64" w:name="_Toc122944769"/>
      <w:bookmarkStart w:id="65" w:name="_Toc157436694"/>
      <w:bookmarkStart w:id="66" w:name="_Toc156647788"/>
      <w:r>
        <w:rPr>
          <w:rFonts w:hint="eastAsia"/>
        </w:rPr>
        <w:t>系统功能</w:t>
      </w:r>
      <w:bookmarkEnd w:id="64"/>
      <w:bookmarkEnd w:id="65"/>
      <w:bookmarkEnd w:id="66"/>
    </w:p>
    <w:p w:rsidR="00830835" w:rsidRDefault="002B6BFE">
      <w:pPr>
        <w:pStyle w:val="affe"/>
        <w:spacing w:before="156" w:after="156"/>
      </w:pPr>
      <w:r>
        <w:rPr>
          <w:rFonts w:hint="eastAsia"/>
        </w:rPr>
        <w:t>基本功能</w:t>
      </w:r>
    </w:p>
    <w:p w:rsidR="00830835" w:rsidRDefault="002B6BFE">
      <w:pPr>
        <w:pStyle w:val="afffff1"/>
        <w:ind w:firstLine="420"/>
      </w:pPr>
      <w:r>
        <w:rPr>
          <w:rFonts w:hAnsi="宋体" w:hint="eastAsia"/>
        </w:rPr>
        <w:t>风电场雷电预警系统的基本功能包括：</w:t>
      </w:r>
    </w:p>
    <w:p w:rsidR="00830835" w:rsidRDefault="002B6BFE">
      <w:pPr>
        <w:pStyle w:val="afffff1"/>
        <w:ind w:firstLine="420"/>
      </w:pPr>
      <w:r>
        <w:rPr>
          <w:rFonts w:hint="eastAsia"/>
        </w:rPr>
        <w:t>——雷电活动实时监测：应具备风电场区域大气电场实时监测功能；</w:t>
      </w:r>
    </w:p>
    <w:p w:rsidR="00830835" w:rsidRDefault="002B6BFE">
      <w:pPr>
        <w:pStyle w:val="afffff1"/>
        <w:ind w:firstLine="420"/>
      </w:pPr>
      <w:r>
        <w:rPr>
          <w:rFonts w:hint="eastAsia"/>
        </w:rPr>
        <w:t>——0～2h雷电发邻近预警产品，包括雷电预警级别、雷电预警时间、预警区域、预警解除等信息；</w:t>
      </w:r>
    </w:p>
    <w:p w:rsidR="00830835" w:rsidRDefault="002B6BFE">
      <w:pPr>
        <w:pStyle w:val="afffff1"/>
        <w:ind w:firstLine="420"/>
      </w:pPr>
      <w:r>
        <w:rPr>
          <w:rFonts w:hint="eastAsia"/>
        </w:rPr>
        <w:t>——雷电历史数据统计查询：具备风电场区域内雷电监测信息和预警信息查询、统计分析功能。</w:t>
      </w:r>
    </w:p>
    <w:p w:rsidR="00830835" w:rsidRDefault="002B6BFE">
      <w:pPr>
        <w:pStyle w:val="affe"/>
        <w:spacing w:before="156" w:after="156"/>
      </w:pPr>
      <w:r>
        <w:rPr>
          <w:rFonts w:hint="eastAsia"/>
        </w:rPr>
        <w:t>数据接口要求</w:t>
      </w:r>
    </w:p>
    <w:p w:rsidR="00830835" w:rsidRDefault="002B6BFE">
      <w:pPr>
        <w:pStyle w:val="afffff1"/>
        <w:ind w:firstLine="420"/>
      </w:pPr>
      <w:r>
        <w:rPr>
          <w:rFonts w:hint="eastAsia"/>
        </w:rPr>
        <w:t>海上风电场雷电预警系统软件软件宜并入风电场数据采集与监控系统（SCADA）或预留风电场可接受的通讯协议接口。</w:t>
      </w:r>
    </w:p>
    <w:p w:rsidR="00830835" w:rsidRDefault="002B6BFE">
      <w:pPr>
        <w:pStyle w:val="affd"/>
        <w:spacing w:before="156" w:after="156"/>
      </w:pPr>
      <w:bookmarkStart w:id="67" w:name="_Toc122944770"/>
      <w:bookmarkStart w:id="68" w:name="_Toc157436695"/>
      <w:bookmarkStart w:id="69" w:name="_Toc156647789"/>
      <w:r>
        <w:rPr>
          <w:rFonts w:hint="eastAsia"/>
        </w:rPr>
        <w:t>雷电预警设备要求</w:t>
      </w:r>
      <w:bookmarkEnd w:id="67"/>
      <w:bookmarkEnd w:id="68"/>
      <w:bookmarkEnd w:id="69"/>
    </w:p>
    <w:p w:rsidR="00830835" w:rsidRDefault="002B6BFE">
      <w:pPr>
        <w:pStyle w:val="afffff1"/>
        <w:ind w:firstLine="420"/>
      </w:pPr>
      <w:r>
        <w:rPr>
          <w:rFonts w:hint="eastAsia"/>
        </w:rPr>
        <w:t>雷电预警设备设计应满足“防盐雾、防潮湿、防霉菌”的三防要求，盐雾试验满足GB/T 2423.18中的严酷等级1，湿热试验满足</w:t>
      </w:r>
      <w:r>
        <w:t>GB/T 2423.</w:t>
      </w:r>
      <w:r>
        <w:rPr>
          <w:rFonts w:hint="eastAsia"/>
        </w:rPr>
        <w:t>4中的“高温40℃，循环次数12”霉菌试验满足</w:t>
      </w:r>
      <w:r>
        <w:t>GB/T 2423.</w:t>
      </w:r>
      <w:r>
        <w:rPr>
          <w:rFonts w:hint="eastAsia"/>
        </w:rPr>
        <w:t>16中的“方法1-严酷登记1 28d”,防护等级应达到GB/T 4208中的IP65等级。</w:t>
      </w:r>
    </w:p>
    <w:p w:rsidR="00830835" w:rsidRDefault="002B6BFE">
      <w:pPr>
        <w:pStyle w:val="affd"/>
        <w:spacing w:before="156" w:after="156"/>
      </w:pPr>
      <w:bookmarkStart w:id="70" w:name="_Toc157436696"/>
      <w:bookmarkStart w:id="71" w:name="_Toc156647790"/>
      <w:bookmarkStart w:id="72" w:name="_Toc122944771"/>
      <w:r>
        <w:rPr>
          <w:rFonts w:hint="eastAsia"/>
        </w:rPr>
        <w:t>预警算法</w:t>
      </w:r>
      <w:bookmarkEnd w:id="70"/>
      <w:bookmarkEnd w:id="71"/>
      <w:bookmarkEnd w:id="72"/>
    </w:p>
    <w:p w:rsidR="00830835" w:rsidRDefault="002B6BFE">
      <w:pPr>
        <w:pStyle w:val="affe"/>
        <w:spacing w:before="156" w:after="156"/>
        <w:rPr>
          <w:rFonts w:ascii="宋体" w:eastAsia="宋体" w:hAnsi="宋体"/>
        </w:rPr>
      </w:pPr>
      <w:r>
        <w:rPr>
          <w:rFonts w:ascii="宋体" w:eastAsia="宋体" w:hAnsi="宋体" w:hint="eastAsia"/>
        </w:rPr>
        <w:t>雷电预警算法</w:t>
      </w:r>
      <w:proofErr w:type="gramStart"/>
      <w:r>
        <w:rPr>
          <w:rFonts w:ascii="宋体" w:eastAsia="宋体" w:hAnsi="宋体" w:hint="eastAsia"/>
        </w:rPr>
        <w:t>宜综合</w:t>
      </w:r>
      <w:proofErr w:type="gramEnd"/>
      <w:r>
        <w:rPr>
          <w:rFonts w:ascii="宋体" w:eastAsia="宋体" w:hAnsi="宋体" w:hint="eastAsia"/>
        </w:rPr>
        <w:t>采用大气电场资料、闪电定位资料、气象雷达资料，通过区域识别、追踪和外推算法、多资料集成预报方法或其它成熟算法得到雷电预警信息。区域识别、追踪和外推</w:t>
      </w:r>
      <w:r>
        <w:rPr>
          <w:rFonts w:ascii="宋体" w:eastAsia="宋体" w:hAnsi="宋体" w:hint="eastAsia"/>
        </w:rPr>
        <w:lastRenderedPageBreak/>
        <w:t>算法、多资料集成预报方法见QX/T</w:t>
      </w:r>
      <w:r>
        <w:rPr>
          <w:rFonts w:ascii="宋体" w:eastAsia="宋体" w:hAnsi="宋体"/>
        </w:rPr>
        <w:t xml:space="preserve"> </w:t>
      </w:r>
      <w:r>
        <w:rPr>
          <w:rFonts w:ascii="宋体" w:eastAsia="宋体" w:hAnsi="宋体" w:hint="eastAsia"/>
        </w:rPr>
        <w:t>262-2015中的附录A。</w:t>
      </w:r>
    </w:p>
    <w:p w:rsidR="00830835" w:rsidRDefault="002B6BFE">
      <w:pPr>
        <w:pStyle w:val="affe"/>
        <w:spacing w:before="156" w:after="156"/>
        <w:rPr>
          <w:rFonts w:ascii="宋体" w:eastAsia="宋体" w:hAnsi="宋体"/>
        </w:rPr>
      </w:pPr>
      <w:r>
        <w:rPr>
          <w:rFonts w:ascii="宋体" w:eastAsia="宋体" w:hAnsi="宋体" w:hint="eastAsia"/>
        </w:rPr>
        <w:t>若采用大气电场资料进行预警时，应综合考虑阈值、变化率、极性等指标。</w:t>
      </w:r>
    </w:p>
    <w:p w:rsidR="00830835" w:rsidRDefault="002B6BFE">
      <w:pPr>
        <w:pStyle w:val="affc"/>
        <w:spacing w:before="312" w:after="312"/>
      </w:pPr>
      <w:bookmarkStart w:id="73" w:name="_Toc157436697"/>
      <w:r>
        <w:rPr>
          <w:rFonts w:hint="eastAsia"/>
        </w:rPr>
        <w:t>预警</w:t>
      </w:r>
      <w:bookmarkEnd w:id="73"/>
    </w:p>
    <w:p w:rsidR="00830835" w:rsidRDefault="002B6BFE">
      <w:pPr>
        <w:pStyle w:val="affd"/>
        <w:spacing w:before="156" w:after="156"/>
      </w:pPr>
      <w:bookmarkStart w:id="74" w:name="_Toc122944773"/>
      <w:bookmarkStart w:id="75" w:name="_Toc156647792"/>
      <w:bookmarkStart w:id="76" w:name="_Toc157436698"/>
      <w:r>
        <w:rPr>
          <w:rFonts w:hint="eastAsia"/>
        </w:rPr>
        <w:t>探测</w:t>
      </w:r>
      <w:bookmarkEnd w:id="74"/>
      <w:bookmarkEnd w:id="75"/>
      <w:r>
        <w:rPr>
          <w:rFonts w:hint="eastAsia"/>
        </w:rPr>
        <w:t>区域</w:t>
      </w:r>
      <w:bookmarkEnd w:id="76"/>
    </w:p>
    <w:p w:rsidR="00830835" w:rsidRDefault="002B6BFE">
      <w:pPr>
        <w:pStyle w:val="afffff1"/>
        <w:ind w:firstLine="420"/>
      </w:pPr>
      <w:r>
        <w:rPr>
          <w:rFonts w:hint="eastAsia"/>
        </w:rPr>
        <w:t>海上风电场雷电预警系统的警戒范围不宜小于40 km。当风电场采用多个雷电预警系统时，可通过雷电预警系统组网的方式扩大雷电预警探测范围。</w:t>
      </w:r>
    </w:p>
    <w:p w:rsidR="00830835" w:rsidRDefault="002B6BFE">
      <w:pPr>
        <w:pStyle w:val="affd"/>
        <w:spacing w:before="156" w:after="156"/>
      </w:pPr>
      <w:bookmarkStart w:id="77" w:name="_Toc156647793"/>
      <w:bookmarkStart w:id="78" w:name="_Toc122944774"/>
      <w:bookmarkStart w:id="79" w:name="_Toc157436699"/>
      <w:r>
        <w:rPr>
          <w:rFonts w:hint="eastAsia"/>
        </w:rPr>
        <w:t>数据处理</w:t>
      </w:r>
      <w:bookmarkEnd w:id="77"/>
      <w:bookmarkEnd w:id="78"/>
      <w:bookmarkEnd w:id="79"/>
    </w:p>
    <w:p w:rsidR="00830835" w:rsidRDefault="002B6BFE">
      <w:pPr>
        <w:pStyle w:val="affe"/>
        <w:spacing w:before="156" w:after="156"/>
      </w:pPr>
      <w:r>
        <w:rPr>
          <w:rFonts w:hint="eastAsia"/>
        </w:rPr>
        <w:t>报警触发</w:t>
      </w:r>
    </w:p>
    <w:p w:rsidR="00830835" w:rsidRDefault="002B6BFE">
      <w:pPr>
        <w:pStyle w:val="afffff1"/>
        <w:ind w:firstLine="420"/>
      </w:pPr>
      <w:r>
        <w:rPr>
          <w:rFonts w:hint="eastAsia"/>
        </w:rPr>
        <w:t>风电场雷电预警系统在警戒范围内监测到电场动态变化达到预警限值并综合雷达等数据后发出相应等级的预警信息。</w:t>
      </w:r>
    </w:p>
    <w:p w:rsidR="00830835" w:rsidRDefault="002B6BFE">
      <w:pPr>
        <w:pStyle w:val="affe"/>
        <w:spacing w:before="156" w:after="156"/>
      </w:pPr>
      <w:r>
        <w:rPr>
          <w:rFonts w:hint="eastAsia"/>
        </w:rPr>
        <w:t>数据传输及保存</w:t>
      </w:r>
    </w:p>
    <w:p w:rsidR="00830835" w:rsidRDefault="002B6BFE">
      <w:pPr>
        <w:pStyle w:val="afffff1"/>
        <w:ind w:firstLine="420"/>
      </w:pPr>
      <w:r>
        <w:rPr>
          <w:rFonts w:hint="eastAsia"/>
        </w:rPr>
        <w:t>风电场雷电预警系统的报警信息应接入风电场SCADA系统。当雷电预警系统发出不同等级的预警信息，可通过SCADA系统和场内广播及场内通讯设备对雷电预警信息进行有效的传递；雷电预警信息应保存3年以上。</w:t>
      </w:r>
    </w:p>
    <w:p w:rsidR="00830835" w:rsidRDefault="002B6BFE">
      <w:pPr>
        <w:pStyle w:val="affe"/>
        <w:spacing w:before="156" w:after="156"/>
      </w:pPr>
      <w:r>
        <w:rPr>
          <w:rFonts w:hint="eastAsia"/>
        </w:rPr>
        <w:t>提前时间</w:t>
      </w:r>
    </w:p>
    <w:p w:rsidR="00830835" w:rsidRDefault="002B6BFE">
      <w:pPr>
        <w:pStyle w:val="afffff1"/>
        <w:ind w:firstLine="420"/>
      </w:pPr>
      <w:r>
        <w:rPr>
          <w:rFonts w:hint="eastAsia"/>
        </w:rPr>
        <w:t>海上风电场的雷电预警的提前时间</w:t>
      </w:r>
      <w:proofErr w:type="gramStart"/>
      <w:r>
        <w:rPr>
          <w:rFonts w:hint="eastAsia"/>
        </w:rPr>
        <w:t>应一般</w:t>
      </w:r>
      <w:proofErr w:type="gramEnd"/>
      <w:r>
        <w:rPr>
          <w:rFonts w:hint="eastAsia"/>
        </w:rPr>
        <w:t>为0</w:t>
      </w:r>
      <w:r>
        <w:rPr>
          <w:rFonts w:hAnsi="宋体" w:hint="eastAsia"/>
        </w:rPr>
        <w:t>～</w:t>
      </w:r>
      <w:r>
        <w:rPr>
          <w:rFonts w:hint="eastAsia"/>
        </w:rPr>
        <w:t>2</w:t>
      </w:r>
      <w:r>
        <w:rPr>
          <w:rFonts w:hAnsi="宋体"/>
        </w:rPr>
        <w:t xml:space="preserve"> </w:t>
      </w:r>
      <w:r>
        <w:rPr>
          <w:rFonts w:hint="eastAsia"/>
        </w:rPr>
        <w:t>h。</w:t>
      </w:r>
    </w:p>
    <w:p w:rsidR="00830835" w:rsidRDefault="002B6BFE">
      <w:pPr>
        <w:pStyle w:val="affd"/>
        <w:spacing w:before="156" w:after="156"/>
      </w:pPr>
      <w:bookmarkStart w:id="80" w:name="_Toc122944775"/>
      <w:bookmarkStart w:id="81" w:name="_Toc156647794"/>
      <w:bookmarkStart w:id="82" w:name="_Toc157436700"/>
      <w:r>
        <w:rPr>
          <w:rFonts w:hint="eastAsia"/>
        </w:rPr>
        <w:t>预警</w:t>
      </w:r>
      <w:bookmarkEnd w:id="80"/>
      <w:bookmarkEnd w:id="81"/>
      <w:r>
        <w:rPr>
          <w:rFonts w:hint="eastAsia"/>
        </w:rPr>
        <w:t>信息分级</w:t>
      </w:r>
      <w:bookmarkEnd w:id="82"/>
    </w:p>
    <w:p w:rsidR="00830835" w:rsidRDefault="002B6BFE">
      <w:pPr>
        <w:pStyle w:val="afffff1"/>
        <w:ind w:firstLine="420"/>
      </w:pPr>
      <w:r>
        <w:rPr>
          <w:rFonts w:hint="eastAsia"/>
        </w:rPr>
        <w:t>预警信息分级包括：</w:t>
      </w:r>
    </w:p>
    <w:p w:rsidR="00830835" w:rsidRDefault="002B6BFE">
      <w:pPr>
        <w:pStyle w:val="afffff1"/>
        <w:ind w:firstLine="420"/>
      </w:pPr>
      <w:r>
        <w:rPr>
          <w:rFonts w:hint="eastAsia"/>
        </w:rPr>
        <w:t>——I级预警：在未来2 h或以上可能出现雷电活动的时段发出的警报信息；</w:t>
      </w:r>
    </w:p>
    <w:p w:rsidR="00830835" w:rsidRDefault="002B6BFE">
      <w:pPr>
        <w:pStyle w:val="afffff1"/>
        <w:ind w:firstLine="420"/>
      </w:pPr>
      <w:r>
        <w:rPr>
          <w:rFonts w:hint="eastAsia"/>
        </w:rPr>
        <w:t>——II级预警：在未来1</w:t>
      </w:r>
      <w:r>
        <w:rPr>
          <w:rFonts w:hAnsi="宋体"/>
        </w:rPr>
        <w:t xml:space="preserve"> </w:t>
      </w:r>
      <w:r>
        <w:rPr>
          <w:rFonts w:hint="eastAsia"/>
        </w:rPr>
        <w:t>h～2</w:t>
      </w:r>
      <w:r>
        <w:rPr>
          <w:rFonts w:hAnsi="宋体"/>
        </w:rPr>
        <w:t xml:space="preserve"> </w:t>
      </w:r>
      <w:r>
        <w:rPr>
          <w:rFonts w:hint="eastAsia"/>
        </w:rPr>
        <w:t>h内即将发生雷电活动的时段发出的警报信息；</w:t>
      </w:r>
    </w:p>
    <w:p w:rsidR="00830835" w:rsidRDefault="002B6BFE">
      <w:pPr>
        <w:pStyle w:val="afffff1"/>
        <w:ind w:firstLine="420"/>
      </w:pPr>
      <w:r>
        <w:rPr>
          <w:rFonts w:hint="eastAsia"/>
        </w:rPr>
        <w:t>——III级预警：在未来0.5</w:t>
      </w:r>
      <w:r>
        <w:rPr>
          <w:rFonts w:hAnsi="宋体"/>
        </w:rPr>
        <w:t xml:space="preserve"> </w:t>
      </w:r>
      <w:r>
        <w:rPr>
          <w:rFonts w:hint="eastAsia"/>
        </w:rPr>
        <w:t>h～1</w:t>
      </w:r>
      <w:r>
        <w:rPr>
          <w:rFonts w:hAnsi="宋体"/>
        </w:rPr>
        <w:t xml:space="preserve"> </w:t>
      </w:r>
      <w:r>
        <w:rPr>
          <w:rFonts w:hint="eastAsia"/>
        </w:rPr>
        <w:t>h内即将发生雷电活动的时段发出的警报信息。</w:t>
      </w:r>
    </w:p>
    <w:p w:rsidR="00830835" w:rsidRDefault="002B6BFE">
      <w:pPr>
        <w:pStyle w:val="affd"/>
        <w:spacing w:before="156" w:after="156"/>
      </w:pPr>
      <w:bookmarkStart w:id="83" w:name="_Toc122944776"/>
      <w:bookmarkStart w:id="84" w:name="_Toc156647795"/>
      <w:bookmarkStart w:id="85" w:name="_Toc157436701"/>
      <w:r>
        <w:rPr>
          <w:rFonts w:hint="eastAsia"/>
        </w:rPr>
        <w:t>处置</w:t>
      </w:r>
      <w:bookmarkEnd w:id="83"/>
      <w:bookmarkEnd w:id="84"/>
      <w:bookmarkEnd w:id="85"/>
    </w:p>
    <w:p w:rsidR="00830835" w:rsidRDefault="002B6BFE">
      <w:pPr>
        <w:pStyle w:val="affe"/>
        <w:spacing w:before="156" w:after="156"/>
        <w:rPr>
          <w:rFonts w:ascii="宋体" w:eastAsia="宋体" w:hAnsi="宋体"/>
        </w:rPr>
      </w:pPr>
      <w:r>
        <w:rPr>
          <w:rFonts w:ascii="宋体" w:eastAsia="宋体" w:hAnsi="宋体" w:hint="eastAsia"/>
        </w:rPr>
        <w:t>在计划作业前收到雷电预警信息，应根据雷电预警信息的等级和雷电预警提前时间变更作业计划，调整作业程序，在保障人员安全的条件下有序开展作业。</w:t>
      </w:r>
    </w:p>
    <w:p w:rsidR="00830835" w:rsidRDefault="002B6BFE">
      <w:pPr>
        <w:pStyle w:val="affe"/>
        <w:spacing w:before="156" w:after="156"/>
        <w:rPr>
          <w:rFonts w:ascii="宋体" w:eastAsia="宋体" w:hAnsi="宋体"/>
        </w:rPr>
      </w:pPr>
      <w:r>
        <w:rPr>
          <w:rFonts w:ascii="宋体" w:eastAsia="宋体" w:hAnsi="宋体" w:hint="eastAsia"/>
        </w:rPr>
        <w:t>在作业中收到雷电预警信息，应立即安排停止相关作业，应立即安排停止相关作业，组织人员躲避，降低因雷电导致的人身安全风险。</w:t>
      </w:r>
    </w:p>
    <w:p w:rsidR="00830835" w:rsidRDefault="002B6BFE">
      <w:pPr>
        <w:pStyle w:val="affd"/>
        <w:spacing w:before="156" w:after="156"/>
      </w:pPr>
      <w:bookmarkStart w:id="86" w:name="_Toc122944777"/>
      <w:bookmarkStart w:id="87" w:name="_Toc156647796"/>
      <w:bookmarkStart w:id="88" w:name="_Toc157436702"/>
      <w:r>
        <w:rPr>
          <w:rFonts w:hint="eastAsia"/>
        </w:rPr>
        <w:t>信息推送与解除</w:t>
      </w:r>
      <w:bookmarkEnd w:id="86"/>
      <w:bookmarkEnd w:id="87"/>
      <w:bookmarkEnd w:id="88"/>
    </w:p>
    <w:p w:rsidR="00830835" w:rsidRDefault="002B6BFE">
      <w:pPr>
        <w:pStyle w:val="affe"/>
        <w:spacing w:before="156" w:after="156"/>
        <w:rPr>
          <w:rFonts w:ascii="宋体" w:eastAsia="宋体" w:hAnsi="宋体"/>
        </w:rPr>
      </w:pPr>
      <w:r>
        <w:rPr>
          <w:rFonts w:ascii="宋体" w:eastAsia="宋体" w:hAnsi="宋体" w:hint="eastAsia"/>
        </w:rPr>
        <w:t>风电场雷电预警系统监测数据达到预警算法中的相应阈值后，应实时向用户端推送相应级别的雷电预警信息。</w:t>
      </w:r>
    </w:p>
    <w:p w:rsidR="00830835" w:rsidRDefault="002B6BFE">
      <w:pPr>
        <w:pStyle w:val="affe"/>
        <w:spacing w:before="156" w:after="156"/>
        <w:rPr>
          <w:rFonts w:ascii="宋体" w:eastAsia="宋体" w:hAnsi="宋体"/>
        </w:rPr>
      </w:pPr>
      <w:r>
        <w:rPr>
          <w:rFonts w:ascii="宋体" w:eastAsia="宋体" w:hAnsi="宋体" w:hint="eastAsia"/>
        </w:rPr>
        <w:t>当风电场雷电预警系统监测数据连续30</w:t>
      </w:r>
      <w:r>
        <w:rPr>
          <w:rFonts w:ascii="宋体" w:eastAsia="宋体" w:hAnsi="宋体"/>
        </w:rPr>
        <w:t xml:space="preserve"> </w:t>
      </w:r>
      <w:r>
        <w:rPr>
          <w:rFonts w:ascii="宋体" w:eastAsia="宋体" w:hAnsi="宋体" w:hint="eastAsia"/>
        </w:rPr>
        <w:t>min未达到预警算法中的相应阈值，应实时向用户端推送雷电预警解除信息。</w:t>
      </w:r>
    </w:p>
    <w:p w:rsidR="00830835" w:rsidRDefault="002B6BFE">
      <w:pPr>
        <w:pStyle w:val="affc"/>
        <w:spacing w:before="312" w:after="312"/>
      </w:pPr>
      <w:bookmarkStart w:id="89" w:name="_Toc157436703"/>
      <w:r>
        <w:rPr>
          <w:rFonts w:hint="eastAsia"/>
        </w:rPr>
        <w:lastRenderedPageBreak/>
        <w:t>运行维护</w:t>
      </w:r>
      <w:bookmarkEnd w:id="89"/>
    </w:p>
    <w:p w:rsidR="00830835" w:rsidRDefault="002B6BFE">
      <w:pPr>
        <w:pStyle w:val="affd"/>
        <w:spacing w:before="156" w:after="156"/>
      </w:pPr>
      <w:bookmarkStart w:id="90" w:name="_Toc122944779"/>
      <w:bookmarkStart w:id="91" w:name="_Toc156647798"/>
      <w:bookmarkStart w:id="92" w:name="_Toc157436704"/>
      <w:r>
        <w:rPr>
          <w:rFonts w:hint="eastAsia"/>
        </w:rPr>
        <w:t>运行</w:t>
      </w:r>
      <w:bookmarkEnd w:id="90"/>
      <w:bookmarkEnd w:id="91"/>
      <w:bookmarkEnd w:id="92"/>
    </w:p>
    <w:p w:rsidR="00830835" w:rsidRDefault="002B6BFE">
      <w:pPr>
        <w:pStyle w:val="afffff1"/>
        <w:ind w:firstLine="420"/>
      </w:pPr>
      <w:r>
        <w:rPr>
          <w:rFonts w:hint="eastAsia"/>
        </w:rPr>
        <w:t>应配备专门的人员，负责监测雷电预警系统设备的运行情况、现场处理简单的故障，无法处理的故障应及时报修。</w:t>
      </w:r>
    </w:p>
    <w:p w:rsidR="00830835" w:rsidRDefault="002B6BFE">
      <w:pPr>
        <w:pStyle w:val="affd"/>
        <w:spacing w:before="156" w:after="156"/>
      </w:pPr>
      <w:bookmarkStart w:id="93" w:name="_Toc122944780"/>
      <w:bookmarkStart w:id="94" w:name="_Toc156647799"/>
      <w:bookmarkStart w:id="95" w:name="_Toc157436705"/>
      <w:r>
        <w:rPr>
          <w:rFonts w:hint="eastAsia"/>
        </w:rPr>
        <w:t>维护</w:t>
      </w:r>
      <w:bookmarkEnd w:id="93"/>
      <w:bookmarkEnd w:id="94"/>
      <w:bookmarkEnd w:id="95"/>
    </w:p>
    <w:p w:rsidR="00830835" w:rsidRDefault="002B6BFE">
      <w:pPr>
        <w:pStyle w:val="affe"/>
        <w:spacing w:before="156" w:after="156"/>
      </w:pPr>
      <w:bookmarkStart w:id="96" w:name="_Hlk157435062"/>
      <w:r>
        <w:rPr>
          <w:rFonts w:ascii="宋体" w:eastAsia="宋体" w:hint="eastAsia"/>
        </w:rPr>
        <w:t>应定期对雷电预警设备设施进行检查，及时发现腐蚀、损坏和安全隐患。</w:t>
      </w:r>
      <w:bookmarkEnd w:id="96"/>
    </w:p>
    <w:p w:rsidR="00830835" w:rsidRDefault="002B6BFE">
      <w:pPr>
        <w:pStyle w:val="affe"/>
        <w:spacing w:before="156" w:after="156"/>
        <w:rPr>
          <w:rFonts w:ascii="宋体" w:eastAsia="宋体" w:hAnsi="宋体"/>
        </w:rPr>
      </w:pPr>
      <w:r>
        <w:rPr>
          <w:rFonts w:ascii="宋体" w:eastAsia="宋体" w:hAnsi="宋体" w:hint="eastAsia"/>
        </w:rPr>
        <w:t>应实时检查雷电预警系统主机通讯和雷电预警信息数据的保存状态。</w:t>
      </w:r>
    </w:p>
    <w:p w:rsidR="00830835" w:rsidRDefault="00830835">
      <w:pPr>
        <w:pStyle w:val="afffff1"/>
        <w:ind w:firstLine="420"/>
      </w:pPr>
    </w:p>
    <w:p w:rsidR="00830835" w:rsidRDefault="00830835">
      <w:pPr>
        <w:pStyle w:val="afffff1"/>
        <w:ind w:firstLine="420"/>
        <w:sectPr w:rsidR="00830835">
          <w:pgSz w:w="11906" w:h="16838"/>
          <w:pgMar w:top="1928" w:right="1134" w:bottom="1134" w:left="1134" w:header="1418" w:footer="1134" w:gutter="284"/>
          <w:pgNumType w:start="1"/>
          <w:cols w:space="425"/>
          <w:formProt w:val="0"/>
          <w:docGrid w:type="lines" w:linePitch="312"/>
        </w:sectPr>
      </w:pPr>
    </w:p>
    <w:p w:rsidR="00830835" w:rsidRDefault="00830835">
      <w:pPr>
        <w:pStyle w:val="af8"/>
        <w:rPr>
          <w:vanish w:val="0"/>
        </w:rPr>
      </w:pPr>
      <w:bookmarkStart w:id="97" w:name="BookMark5"/>
      <w:bookmarkEnd w:id="25"/>
    </w:p>
    <w:p w:rsidR="00830835" w:rsidRDefault="00830835">
      <w:pPr>
        <w:pStyle w:val="afe"/>
        <w:rPr>
          <w:vanish w:val="0"/>
        </w:rPr>
      </w:pPr>
    </w:p>
    <w:p w:rsidR="00830835" w:rsidRDefault="002B6BFE">
      <w:pPr>
        <w:pStyle w:val="aff3"/>
        <w:spacing w:after="156"/>
      </w:pPr>
      <w:bookmarkStart w:id="98" w:name="_Toc157436706"/>
      <w:r>
        <w:br/>
      </w:r>
      <w:bookmarkStart w:id="99" w:name="_Toc156647800"/>
      <w:r>
        <w:rPr>
          <w:rFonts w:hint="eastAsia"/>
        </w:rPr>
        <w:t>（资料性）</w:t>
      </w:r>
      <w:r>
        <w:br/>
      </w:r>
      <w:r>
        <w:rPr>
          <w:rFonts w:hint="eastAsia"/>
        </w:rPr>
        <w:t>海上风电场雷电预警装置安装示意</w:t>
      </w:r>
      <w:bookmarkEnd w:id="98"/>
      <w:bookmarkEnd w:id="99"/>
    </w:p>
    <w:p w:rsidR="00830835" w:rsidRDefault="002B6BFE">
      <w:pPr>
        <w:pStyle w:val="afffff1"/>
        <w:ind w:firstLine="420"/>
      </w:pPr>
      <w:bookmarkStart w:id="100" w:name="_Toc122944782"/>
      <w:bookmarkStart w:id="101" w:name="_Toc156647801"/>
      <w:bookmarkStart w:id="102" w:name="_Toc157435903"/>
      <w:r>
        <w:rPr>
          <w:rFonts w:hint="eastAsia"/>
        </w:rPr>
        <w:t>海上风电场雷电预警设备安装位置见图A.1。</w:t>
      </w:r>
      <w:bookmarkEnd w:id="100"/>
      <w:bookmarkEnd w:id="101"/>
      <w:bookmarkEnd w:id="102"/>
    </w:p>
    <w:p w:rsidR="00830835" w:rsidRDefault="00830835">
      <w:pPr>
        <w:pStyle w:val="afffff1"/>
        <w:ind w:firstLine="420"/>
      </w:pPr>
    </w:p>
    <w:p w:rsidR="00830835" w:rsidRDefault="002B6BFE">
      <w:pPr>
        <w:pStyle w:val="afffff1"/>
        <w:ind w:firstLineChars="0" w:firstLine="0"/>
        <w:jc w:val="center"/>
      </w:pPr>
      <w:r>
        <w:object w:dxaOrig="9345" w:dyaOrig="4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200.95pt" o:ole="">
            <v:imagedata r:id="rId20" o:title=""/>
          </v:shape>
          <o:OLEObject Type="Embed" ProgID="Visio.Drawing.11" ShapeID="_x0000_i1025" DrawAspect="Content" ObjectID="_1768304702" r:id="rId21"/>
        </w:object>
      </w:r>
    </w:p>
    <w:p w:rsidR="00830835" w:rsidRDefault="002B6BFE">
      <w:pPr>
        <w:pStyle w:val="af9"/>
        <w:spacing w:before="156" w:after="156"/>
      </w:pPr>
      <w:r>
        <w:rPr>
          <w:rFonts w:hint="eastAsia"/>
        </w:rPr>
        <w:t>海上风电场雷电预警设备安装位置示意</w:t>
      </w:r>
    </w:p>
    <w:p w:rsidR="00830835" w:rsidRDefault="002B6BFE">
      <w:pPr>
        <w:pStyle w:val="afffffffff6"/>
        <w:ind w:firstLine="360"/>
      </w:pPr>
      <w:bookmarkStart w:id="103" w:name="BookMark8"/>
      <w:bookmarkEnd w:id="97"/>
      <w:r>
        <w:rPr>
          <w:rFonts w:hint="eastAsia"/>
        </w:rPr>
        <w:t>标引序号说明：</w:t>
      </w:r>
    </w:p>
    <w:p w:rsidR="00830835" w:rsidRDefault="002B6BFE">
      <w:pPr>
        <w:pStyle w:val="afffffffff6"/>
        <w:ind w:firstLine="360"/>
      </w:pPr>
      <w:r>
        <w:rPr>
          <w:rFonts w:hint="eastAsia"/>
        </w:rPr>
        <w:t>1——路上气象雷达；</w:t>
      </w:r>
    </w:p>
    <w:p w:rsidR="00830835" w:rsidRDefault="002B6BFE">
      <w:pPr>
        <w:pStyle w:val="afffffffff6"/>
        <w:ind w:firstLine="360"/>
      </w:pPr>
      <w:r>
        <w:rPr>
          <w:rFonts w:hint="eastAsia"/>
        </w:rPr>
        <w:t>2——海上风力发电机组；</w:t>
      </w:r>
    </w:p>
    <w:p w:rsidR="00830835" w:rsidRDefault="002B6BFE">
      <w:pPr>
        <w:pStyle w:val="afffffffff6"/>
        <w:ind w:firstLine="360"/>
      </w:pPr>
      <w:r>
        <w:rPr>
          <w:rFonts w:hint="eastAsia"/>
        </w:rPr>
        <w:t>3——海上风电场雷电预警设备；</w:t>
      </w:r>
    </w:p>
    <w:p w:rsidR="00830835" w:rsidRDefault="002B6BFE">
      <w:pPr>
        <w:pStyle w:val="afffffffff6"/>
        <w:ind w:firstLine="360"/>
      </w:pPr>
      <w:r>
        <w:rPr>
          <w:rFonts w:hint="eastAsia"/>
        </w:rPr>
        <w:t>4——海上风电场升压站。</w:t>
      </w:r>
    </w:p>
    <w:p w:rsidR="00830835" w:rsidRDefault="002B6BFE">
      <w:pPr>
        <w:pStyle w:val="afffff1"/>
        <w:ind w:firstLineChars="0" w:firstLine="0"/>
        <w:jc w:val="center"/>
      </w:pPr>
      <w:r>
        <w:rPr>
          <w:noProof/>
        </w:rPr>
        <w:drawing>
          <wp:inline distT="0" distB="0" distL="0" distR="0" wp14:anchorId="7CACC6F5" wp14:editId="0B59A55C">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2"/>
                    <a:stretch>
                      <a:fillRect/>
                    </a:stretch>
                  </pic:blipFill>
                  <pic:spPr>
                    <a:xfrm>
                      <a:off x="0" y="0"/>
                      <a:ext cx="1485900" cy="317500"/>
                    </a:xfrm>
                    <a:prstGeom prst="rect">
                      <a:avLst/>
                    </a:prstGeom>
                  </pic:spPr>
                </pic:pic>
              </a:graphicData>
            </a:graphic>
          </wp:inline>
        </w:drawing>
      </w:r>
      <w:bookmarkEnd w:id="103"/>
    </w:p>
    <w:sectPr w:rsidR="00830835">
      <w:pgSz w:w="11906" w:h="16838"/>
      <w:pgMar w:top="1928" w:right="1134" w:bottom="1134" w:left="1134" w:header="1418" w:footer="1134" w:gutter="284"/>
      <w:cols w:space="425"/>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46412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F6F" w:rsidRDefault="00144F6F">
      <w:pPr>
        <w:spacing w:line="240" w:lineRule="auto"/>
      </w:pPr>
      <w:r>
        <w:separator/>
      </w:r>
    </w:p>
  </w:endnote>
  <w:endnote w:type="continuationSeparator" w:id="0">
    <w:p w:rsidR="00144F6F" w:rsidRDefault="00144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2B6BFE">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830835">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830835">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2B6BFE">
    <w:pPr>
      <w:pStyle w:val="affffe"/>
    </w:pPr>
    <w:r>
      <w:fldChar w:fldCharType="begin"/>
    </w:r>
    <w:r>
      <w:instrText>PAGE   \* MERGEFORMAT</w:instrText>
    </w:r>
    <w:r>
      <w:fldChar w:fldCharType="separate"/>
    </w:r>
    <w:r w:rsidR="00935A1F" w:rsidRPr="00935A1F">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F6F" w:rsidRDefault="00144F6F">
      <w:pPr>
        <w:spacing w:line="240" w:lineRule="auto"/>
      </w:pPr>
      <w:r>
        <w:separator/>
      </w:r>
    </w:p>
  </w:footnote>
  <w:footnote w:type="continuationSeparator" w:id="0">
    <w:p w:rsidR="00144F6F" w:rsidRDefault="00144F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830835">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2B6BF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830835">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2B6BFE">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35" w:rsidRDefault="002B6BFE">
    <w:pPr>
      <w:pStyle w:val="afffff6"/>
    </w:pPr>
    <w:r>
      <w:fldChar w:fldCharType="begin"/>
    </w:r>
    <w:r>
      <w:instrText xml:space="preserve"> STYLEREF  标准文件_文件编号  \* MERGEFORMAT </w:instrText>
    </w:r>
    <w:r>
      <w:fldChar w:fldCharType="separate"/>
    </w:r>
    <w:r w:rsidR="00935A1F">
      <w:rPr>
        <w:noProof/>
      </w:rPr>
      <w:t>DB 32/T XXXX</w:t>
    </w:r>
    <w:r w:rsidR="00935A1F">
      <w:rPr>
        <w:noProof/>
      </w:rPr>
      <w:t>—</w:t>
    </w:r>
    <w:r w:rsidR="00935A1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obmMqTBfOPE3S5dIzQwpIob9d0MWT2nAJoCrR3HCh5i+rMndKU2EqPBMiU8CU9hYXMpUUdHLAwgDfWrlnMAiiw==" w:salt="tpovjWT7ZTmKbFTwvCnS9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kNTJhMjIzYzQ0Y2I3MTQ3N2QyNDAwYjIxZmFlMTEifQ=="/>
  </w:docVars>
  <w:rsids>
    <w:rsidRoot w:val="0010503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142"/>
    <w:rsid w:val="0002595E"/>
    <w:rsid w:val="000303C3"/>
    <w:rsid w:val="000331D3"/>
    <w:rsid w:val="000346A5"/>
    <w:rsid w:val="00034C1D"/>
    <w:rsid w:val="000359C3"/>
    <w:rsid w:val="00035A7D"/>
    <w:rsid w:val="000365ED"/>
    <w:rsid w:val="000374AA"/>
    <w:rsid w:val="0004249A"/>
    <w:rsid w:val="00043282"/>
    <w:rsid w:val="00044286"/>
    <w:rsid w:val="00047F28"/>
    <w:rsid w:val="000503AA"/>
    <w:rsid w:val="000506A1"/>
    <w:rsid w:val="000515DD"/>
    <w:rsid w:val="0005265A"/>
    <w:rsid w:val="000539DD"/>
    <w:rsid w:val="00053BD3"/>
    <w:rsid w:val="000556ED"/>
    <w:rsid w:val="00055FE2"/>
    <w:rsid w:val="0005616F"/>
    <w:rsid w:val="0005620F"/>
    <w:rsid w:val="00060C2E"/>
    <w:rsid w:val="00061033"/>
    <w:rsid w:val="000619E9"/>
    <w:rsid w:val="000622D4"/>
    <w:rsid w:val="0006357D"/>
    <w:rsid w:val="00066D37"/>
    <w:rsid w:val="00067F1E"/>
    <w:rsid w:val="00070413"/>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E5"/>
    <w:rsid w:val="000C1492"/>
    <w:rsid w:val="000C2FBD"/>
    <w:rsid w:val="000C4B41"/>
    <w:rsid w:val="000C57D6"/>
    <w:rsid w:val="000C6362"/>
    <w:rsid w:val="000C7666"/>
    <w:rsid w:val="000D0A9C"/>
    <w:rsid w:val="000D1795"/>
    <w:rsid w:val="000D329A"/>
    <w:rsid w:val="000D4B9C"/>
    <w:rsid w:val="000D4EB6"/>
    <w:rsid w:val="000D753B"/>
    <w:rsid w:val="000E4C9E"/>
    <w:rsid w:val="000E6999"/>
    <w:rsid w:val="000E6FD7"/>
    <w:rsid w:val="000E7D8C"/>
    <w:rsid w:val="000F06E1"/>
    <w:rsid w:val="000F0E3C"/>
    <w:rsid w:val="000F19D5"/>
    <w:rsid w:val="000F4AEA"/>
    <w:rsid w:val="000F633F"/>
    <w:rsid w:val="000F67E9"/>
    <w:rsid w:val="0010316D"/>
    <w:rsid w:val="00104926"/>
    <w:rsid w:val="0010503F"/>
    <w:rsid w:val="00113B1E"/>
    <w:rsid w:val="0011711C"/>
    <w:rsid w:val="0012059C"/>
    <w:rsid w:val="00124E4F"/>
    <w:rsid w:val="00125115"/>
    <w:rsid w:val="001260B7"/>
    <w:rsid w:val="001265CB"/>
    <w:rsid w:val="001321C6"/>
    <w:rsid w:val="001325C4"/>
    <w:rsid w:val="00133010"/>
    <w:rsid w:val="001338EE"/>
    <w:rsid w:val="00133AAE"/>
    <w:rsid w:val="00135323"/>
    <w:rsid w:val="001356C4"/>
    <w:rsid w:val="00141114"/>
    <w:rsid w:val="00142969"/>
    <w:rsid w:val="001446C2"/>
    <w:rsid w:val="00144F6F"/>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1DD"/>
    <w:rsid w:val="001913C4"/>
    <w:rsid w:val="0019348F"/>
    <w:rsid w:val="00193A07"/>
    <w:rsid w:val="00194C95"/>
    <w:rsid w:val="00195399"/>
    <w:rsid w:val="00195C34"/>
    <w:rsid w:val="00196EF5"/>
    <w:rsid w:val="001A1A53"/>
    <w:rsid w:val="001A234A"/>
    <w:rsid w:val="001A4CF3"/>
    <w:rsid w:val="001B06E8"/>
    <w:rsid w:val="001B69F8"/>
    <w:rsid w:val="001B71D0"/>
    <w:rsid w:val="001B71EE"/>
    <w:rsid w:val="001C04A8"/>
    <w:rsid w:val="001C2C03"/>
    <w:rsid w:val="001C4220"/>
    <w:rsid w:val="001C42F7"/>
    <w:rsid w:val="001C49E5"/>
    <w:rsid w:val="001C680C"/>
    <w:rsid w:val="001C7FEA"/>
    <w:rsid w:val="001D0499"/>
    <w:rsid w:val="001D0BBE"/>
    <w:rsid w:val="001D0ED4"/>
    <w:rsid w:val="001D212F"/>
    <w:rsid w:val="001D29D7"/>
    <w:rsid w:val="001D2DE7"/>
    <w:rsid w:val="001D34E3"/>
    <w:rsid w:val="001D411C"/>
    <w:rsid w:val="001E1B6A"/>
    <w:rsid w:val="001E2484"/>
    <w:rsid w:val="001E3CC4"/>
    <w:rsid w:val="001E4882"/>
    <w:rsid w:val="001E73AB"/>
    <w:rsid w:val="001F092D"/>
    <w:rsid w:val="001F143A"/>
    <w:rsid w:val="001F1605"/>
    <w:rsid w:val="001F2508"/>
    <w:rsid w:val="001F264D"/>
    <w:rsid w:val="001F4816"/>
    <w:rsid w:val="001F4EE9"/>
    <w:rsid w:val="001F69B4"/>
    <w:rsid w:val="001F77C7"/>
    <w:rsid w:val="00200183"/>
    <w:rsid w:val="00200333"/>
    <w:rsid w:val="0020107D"/>
    <w:rsid w:val="00202AA4"/>
    <w:rsid w:val="002031F7"/>
    <w:rsid w:val="002040E6"/>
    <w:rsid w:val="0020527B"/>
    <w:rsid w:val="00205F2C"/>
    <w:rsid w:val="00207891"/>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33F"/>
    <w:rsid w:val="00247F52"/>
    <w:rsid w:val="00250B25"/>
    <w:rsid w:val="00250BBE"/>
    <w:rsid w:val="002515C2"/>
    <w:rsid w:val="0025194F"/>
    <w:rsid w:val="0026148A"/>
    <w:rsid w:val="00262696"/>
    <w:rsid w:val="00263D25"/>
    <w:rsid w:val="002643C3"/>
    <w:rsid w:val="00264A0C"/>
    <w:rsid w:val="00266EEB"/>
    <w:rsid w:val="00267EF4"/>
    <w:rsid w:val="00270CB8"/>
    <w:rsid w:val="0027166A"/>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BFE"/>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3F6"/>
    <w:rsid w:val="002F2A51"/>
    <w:rsid w:val="002F30E0"/>
    <w:rsid w:val="002F35E4"/>
    <w:rsid w:val="002F3730"/>
    <w:rsid w:val="002F38E1"/>
    <w:rsid w:val="002F7AF6"/>
    <w:rsid w:val="00300E63"/>
    <w:rsid w:val="00302F5F"/>
    <w:rsid w:val="003035A6"/>
    <w:rsid w:val="0030441D"/>
    <w:rsid w:val="00306063"/>
    <w:rsid w:val="00313B85"/>
    <w:rsid w:val="00317988"/>
    <w:rsid w:val="003221B4"/>
    <w:rsid w:val="0032258D"/>
    <w:rsid w:val="00322E62"/>
    <w:rsid w:val="00324D13"/>
    <w:rsid w:val="00324D2A"/>
    <w:rsid w:val="00324EDD"/>
    <w:rsid w:val="003331E4"/>
    <w:rsid w:val="00336C64"/>
    <w:rsid w:val="00337162"/>
    <w:rsid w:val="003376E5"/>
    <w:rsid w:val="0034194F"/>
    <w:rsid w:val="00344605"/>
    <w:rsid w:val="003474AA"/>
    <w:rsid w:val="00350D1D"/>
    <w:rsid w:val="00352C83"/>
    <w:rsid w:val="00353402"/>
    <w:rsid w:val="003615D2"/>
    <w:rsid w:val="0036429C"/>
    <w:rsid w:val="00364A53"/>
    <w:rsid w:val="003654CB"/>
    <w:rsid w:val="00365AA9"/>
    <w:rsid w:val="00365F86"/>
    <w:rsid w:val="00365F87"/>
    <w:rsid w:val="00366E89"/>
    <w:rsid w:val="003705F4"/>
    <w:rsid w:val="00370D58"/>
    <w:rsid w:val="00371316"/>
    <w:rsid w:val="003747E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D24"/>
    <w:rsid w:val="00395152"/>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4D6"/>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52"/>
    <w:rsid w:val="00407D39"/>
    <w:rsid w:val="0041477A"/>
    <w:rsid w:val="004167A3"/>
    <w:rsid w:val="00432DAA"/>
    <w:rsid w:val="00434305"/>
    <w:rsid w:val="00435DF7"/>
    <w:rsid w:val="0044083F"/>
    <w:rsid w:val="00441AE7"/>
    <w:rsid w:val="00445574"/>
    <w:rsid w:val="004465DA"/>
    <w:rsid w:val="004467FB"/>
    <w:rsid w:val="004476A4"/>
    <w:rsid w:val="0045092D"/>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8CB"/>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28E"/>
    <w:rsid w:val="004E67C0"/>
    <w:rsid w:val="004F391A"/>
    <w:rsid w:val="004F3CFB"/>
    <w:rsid w:val="004F6456"/>
    <w:rsid w:val="004F696E"/>
    <w:rsid w:val="004F6C41"/>
    <w:rsid w:val="004F6C71"/>
    <w:rsid w:val="00501139"/>
    <w:rsid w:val="0050363E"/>
    <w:rsid w:val="005039BC"/>
    <w:rsid w:val="005043BB"/>
    <w:rsid w:val="00504A3D"/>
    <w:rsid w:val="00505767"/>
    <w:rsid w:val="005073F0"/>
    <w:rsid w:val="00510A7B"/>
    <w:rsid w:val="00512F6E"/>
    <w:rsid w:val="00513038"/>
    <w:rsid w:val="00513655"/>
    <w:rsid w:val="00514174"/>
    <w:rsid w:val="00516088"/>
    <w:rsid w:val="00516B0B"/>
    <w:rsid w:val="005220EC"/>
    <w:rsid w:val="00523F95"/>
    <w:rsid w:val="00524D65"/>
    <w:rsid w:val="00525B16"/>
    <w:rsid w:val="00533D04"/>
    <w:rsid w:val="0053479B"/>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325"/>
    <w:rsid w:val="005C7156"/>
    <w:rsid w:val="005D0C75"/>
    <w:rsid w:val="005D4171"/>
    <w:rsid w:val="005D65FA"/>
    <w:rsid w:val="005D6A95"/>
    <w:rsid w:val="005D6B2C"/>
    <w:rsid w:val="005D6D9C"/>
    <w:rsid w:val="005E1C23"/>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85D"/>
    <w:rsid w:val="006259BC"/>
    <w:rsid w:val="0062636B"/>
    <w:rsid w:val="00632182"/>
    <w:rsid w:val="00632AE0"/>
    <w:rsid w:val="00633C17"/>
    <w:rsid w:val="00634B38"/>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E4E"/>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39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993"/>
    <w:rsid w:val="00773C1F"/>
    <w:rsid w:val="00774DA4"/>
    <w:rsid w:val="00776599"/>
    <w:rsid w:val="0078114B"/>
    <w:rsid w:val="00781DD2"/>
    <w:rsid w:val="00783ECF"/>
    <w:rsid w:val="0078413A"/>
    <w:rsid w:val="00786F44"/>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93"/>
    <w:rsid w:val="007C1E8B"/>
    <w:rsid w:val="007C2D89"/>
    <w:rsid w:val="007C4593"/>
    <w:rsid w:val="007C5309"/>
    <w:rsid w:val="007C6069"/>
    <w:rsid w:val="007D06C4"/>
    <w:rsid w:val="007D10E7"/>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2AC"/>
    <w:rsid w:val="00817325"/>
    <w:rsid w:val="008209E6"/>
    <w:rsid w:val="00823303"/>
    <w:rsid w:val="008233B2"/>
    <w:rsid w:val="008238E8"/>
    <w:rsid w:val="00823A9F"/>
    <w:rsid w:val="00823C85"/>
    <w:rsid w:val="00825138"/>
    <w:rsid w:val="008269DD"/>
    <w:rsid w:val="00830621"/>
    <w:rsid w:val="00830835"/>
    <w:rsid w:val="0083348C"/>
    <w:rsid w:val="008373D3"/>
    <w:rsid w:val="00840617"/>
    <w:rsid w:val="00840F84"/>
    <w:rsid w:val="00842A47"/>
    <w:rsid w:val="00843071"/>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6C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83D"/>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A1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BA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BF6"/>
    <w:rsid w:val="009A72AD"/>
    <w:rsid w:val="009B09E0"/>
    <w:rsid w:val="009B0BC5"/>
    <w:rsid w:val="009B1247"/>
    <w:rsid w:val="009B46F9"/>
    <w:rsid w:val="009B6029"/>
    <w:rsid w:val="009B6971"/>
    <w:rsid w:val="009C27F1"/>
    <w:rsid w:val="009C3152"/>
    <w:rsid w:val="009C4CFA"/>
    <w:rsid w:val="009C5070"/>
    <w:rsid w:val="009D112C"/>
    <w:rsid w:val="009D1BBA"/>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19"/>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602"/>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4A8"/>
    <w:rsid w:val="00AC4D95"/>
    <w:rsid w:val="00AC5DF4"/>
    <w:rsid w:val="00AD0AEF"/>
    <w:rsid w:val="00AD11B7"/>
    <w:rsid w:val="00AD1A94"/>
    <w:rsid w:val="00AD1C05"/>
    <w:rsid w:val="00AD4126"/>
    <w:rsid w:val="00AD421C"/>
    <w:rsid w:val="00AD44FA"/>
    <w:rsid w:val="00AE070A"/>
    <w:rsid w:val="00AE101C"/>
    <w:rsid w:val="00AE37E5"/>
    <w:rsid w:val="00AE59F3"/>
    <w:rsid w:val="00AE5EB4"/>
    <w:rsid w:val="00AF0C18"/>
    <w:rsid w:val="00AF352E"/>
    <w:rsid w:val="00AF47C5"/>
    <w:rsid w:val="00AF5398"/>
    <w:rsid w:val="00B049AF"/>
    <w:rsid w:val="00B07242"/>
    <w:rsid w:val="00B10534"/>
    <w:rsid w:val="00B113DB"/>
    <w:rsid w:val="00B11D8A"/>
    <w:rsid w:val="00B12981"/>
    <w:rsid w:val="00B147DD"/>
    <w:rsid w:val="00B156FD"/>
    <w:rsid w:val="00B21F61"/>
    <w:rsid w:val="00B22127"/>
    <w:rsid w:val="00B261F1"/>
    <w:rsid w:val="00B265BC"/>
    <w:rsid w:val="00B31FB1"/>
    <w:rsid w:val="00B33952"/>
    <w:rsid w:val="00B33C5E"/>
    <w:rsid w:val="00B342F4"/>
    <w:rsid w:val="00B34369"/>
    <w:rsid w:val="00B34DC2"/>
    <w:rsid w:val="00B378E5"/>
    <w:rsid w:val="00B42EB9"/>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BEB"/>
    <w:rsid w:val="00BA7C9A"/>
    <w:rsid w:val="00BB203B"/>
    <w:rsid w:val="00BB5F8F"/>
    <w:rsid w:val="00BB657A"/>
    <w:rsid w:val="00BC1A4E"/>
    <w:rsid w:val="00BC4790"/>
    <w:rsid w:val="00BC5DC7"/>
    <w:rsid w:val="00BC6B8B"/>
    <w:rsid w:val="00BC73D8"/>
    <w:rsid w:val="00BD52D7"/>
    <w:rsid w:val="00BD5AD2"/>
    <w:rsid w:val="00BE16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8C8"/>
    <w:rsid w:val="00C521D6"/>
    <w:rsid w:val="00C55232"/>
    <w:rsid w:val="00C553A4"/>
    <w:rsid w:val="00C55A06"/>
    <w:rsid w:val="00C55D03"/>
    <w:rsid w:val="00C601BC"/>
    <w:rsid w:val="00C6329F"/>
    <w:rsid w:val="00C63340"/>
    <w:rsid w:val="00C643F9"/>
    <w:rsid w:val="00C64E95"/>
    <w:rsid w:val="00C71372"/>
    <w:rsid w:val="00C716FD"/>
    <w:rsid w:val="00C72410"/>
    <w:rsid w:val="00C7287F"/>
    <w:rsid w:val="00C80982"/>
    <w:rsid w:val="00C80CB8"/>
    <w:rsid w:val="00C819F8"/>
    <w:rsid w:val="00C8248C"/>
    <w:rsid w:val="00C84E33"/>
    <w:rsid w:val="00C86D6F"/>
    <w:rsid w:val="00C873D0"/>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5457"/>
    <w:rsid w:val="00D97F99"/>
    <w:rsid w:val="00DA1E08"/>
    <w:rsid w:val="00DA24F8"/>
    <w:rsid w:val="00DA28E8"/>
    <w:rsid w:val="00DA38D3"/>
    <w:rsid w:val="00DA38F8"/>
    <w:rsid w:val="00DA3932"/>
    <w:rsid w:val="00DA3AFC"/>
    <w:rsid w:val="00DA5191"/>
    <w:rsid w:val="00DA64F8"/>
    <w:rsid w:val="00DA6C15"/>
    <w:rsid w:val="00DB0258"/>
    <w:rsid w:val="00DB188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4E8"/>
    <w:rsid w:val="00E06404"/>
    <w:rsid w:val="00E065D2"/>
    <w:rsid w:val="00E11A85"/>
    <w:rsid w:val="00E12495"/>
    <w:rsid w:val="00E15CCD"/>
    <w:rsid w:val="00E20012"/>
    <w:rsid w:val="00E202EF"/>
    <w:rsid w:val="00E210B5"/>
    <w:rsid w:val="00E23D99"/>
    <w:rsid w:val="00E2552F"/>
    <w:rsid w:val="00E25F85"/>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651"/>
    <w:rsid w:val="00EA58D1"/>
    <w:rsid w:val="00EA61BC"/>
    <w:rsid w:val="00EA681A"/>
    <w:rsid w:val="00EA735B"/>
    <w:rsid w:val="00EB17DE"/>
    <w:rsid w:val="00EB1E69"/>
    <w:rsid w:val="00EB2086"/>
    <w:rsid w:val="00EB5EDF"/>
    <w:rsid w:val="00EB60FE"/>
    <w:rsid w:val="00EB74DB"/>
    <w:rsid w:val="00EC5359"/>
    <w:rsid w:val="00EC562A"/>
    <w:rsid w:val="00EC574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226"/>
    <w:rsid w:val="00F25BB6"/>
    <w:rsid w:val="00F26B7E"/>
    <w:rsid w:val="00F27A3B"/>
    <w:rsid w:val="00F332C4"/>
    <w:rsid w:val="00F33817"/>
    <w:rsid w:val="00F4156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2B9"/>
    <w:rsid w:val="00F859A8"/>
    <w:rsid w:val="00F86D87"/>
    <w:rsid w:val="00F9108B"/>
    <w:rsid w:val="00F91349"/>
    <w:rsid w:val="00F93A8A"/>
    <w:rsid w:val="00F95248"/>
    <w:rsid w:val="00F956A9"/>
    <w:rsid w:val="00F963ED"/>
    <w:rsid w:val="00F966CF"/>
    <w:rsid w:val="00F96CAE"/>
    <w:rsid w:val="00F97C99"/>
    <w:rsid w:val="00FA4DAC"/>
    <w:rsid w:val="00FA607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9C2"/>
    <w:rsid w:val="00FE1FBE"/>
    <w:rsid w:val="00FE3901"/>
    <w:rsid w:val="00FE39D3"/>
    <w:rsid w:val="00FE4BCE"/>
    <w:rsid w:val="00FE54AE"/>
    <w:rsid w:val="00FE576A"/>
    <w:rsid w:val="00FE7E79"/>
    <w:rsid w:val="00FF3E7D"/>
    <w:rsid w:val="00FF5B99"/>
    <w:rsid w:val="00FF730C"/>
    <w:rsid w:val="00FF73F4"/>
    <w:rsid w:val="00FF7CE4"/>
    <w:rsid w:val="00FF7E39"/>
    <w:rsid w:val="1A051FAB"/>
    <w:rsid w:val="2284581E"/>
    <w:rsid w:val="288E4EA5"/>
    <w:rsid w:val="2B790267"/>
    <w:rsid w:val="6EB72E3A"/>
    <w:rsid w:val="780A1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Char"/>
    <w:uiPriority w:val="99"/>
    <w:semiHidden/>
    <w:unhideWhenUsed/>
    <w:pPr>
      <w:jc w:val="left"/>
    </w:pPr>
  </w:style>
  <w:style w:type="paragraph" w:styleId="afffb">
    <w:name w:val="Body Text"/>
    <w:basedOn w:val="afff5"/>
    <w:link w:val="Char0"/>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pPr>
      <w:tabs>
        <w:tab w:val="right" w:leader="dot" w:pos="9344"/>
      </w:tabs>
      <w:snapToGrid w:val="0"/>
    </w:pPr>
    <w:rPr>
      <w:rFonts w:ascii="宋体"/>
      <w:kern w:val="0"/>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rPr>
      <w:b/>
      <w:bCs/>
    </w:rPr>
  </w:style>
  <w:style w:type="table" w:styleId="affff3">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rPr>
      <w:rFonts w:ascii="宋体" w:eastAsia="宋体" w:hAnsi="Times New Roman"/>
      <w:sz w:val="18"/>
    </w:rPr>
  </w:style>
  <w:style w:type="character" w:styleId="affff6">
    <w:name w:val="Emphasis"/>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rPr>
      <w:sz w:val="21"/>
      <w:szCs w:val="21"/>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uiPriority w:val="99"/>
    <w:rPr>
      <w:rFonts w:ascii="宋体"/>
      <w:kern w:val="2"/>
      <w:sz w:val="18"/>
      <w:szCs w:val="18"/>
    </w:rPr>
  </w:style>
  <w:style w:type="character" w:customStyle="1" w:styleId="Char1">
    <w:name w:val="批注框文本 Char"/>
    <w:link w:val="afffc"/>
    <w:autoRedefine/>
    <w:uiPriority w:val="99"/>
    <w:semiHidden/>
    <w:rPr>
      <w:kern w:val="2"/>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uiPriority w:val="29"/>
    <w:rPr>
      <w:i/>
      <w:iCs/>
      <w:color w:val="000000"/>
      <w:kern w:val="2"/>
      <w:sz w:val="21"/>
      <w:szCs w:val="21"/>
    </w:rPr>
  </w:style>
  <w:style w:type="character" w:customStyle="1" w:styleId="Char5">
    <w:name w:val="标题 Char"/>
    <w:link w:val="affff1"/>
    <w:autoRedefine/>
    <w:qFormat/>
    <w:rPr>
      <w:rFonts w:ascii="Arial" w:hAnsi="Arial" w:cs="Arial"/>
      <w:b/>
      <w:bCs/>
      <w:kern w:val="2"/>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pPr>
      <w:jc w:val="center"/>
    </w:pPr>
    <w:rPr>
      <w:rFonts w:ascii="黑体" w:eastAsia="黑体"/>
      <w:kern w:val="0"/>
      <w:sz w:val="44"/>
    </w:rPr>
  </w:style>
  <w:style w:type="paragraph" w:customStyle="1" w:styleId="afffff4">
    <w:name w:val="标准文件_标准代替"/>
    <w:basedOn w:val="afff5"/>
    <w:next w:val="afff5"/>
    <w:pPr>
      <w:spacing w:line="310" w:lineRule="exact"/>
      <w:jc w:val="right"/>
    </w:pPr>
    <w:rPr>
      <w:rFonts w:ascii="宋体" w:hAnsi="宋体"/>
      <w:kern w:val="0"/>
    </w:rPr>
  </w:style>
  <w:style w:type="paragraph" w:customStyle="1" w:styleId="afffff5">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pPr>
      <w:jc w:val="left"/>
    </w:pPr>
  </w:style>
  <w:style w:type="paragraph" w:customStyle="1" w:styleId="afffff8">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pPr>
      <w:spacing w:line="310" w:lineRule="exact"/>
      <w:jc w:val="right"/>
    </w:pPr>
    <w:rPr>
      <w:rFonts w:ascii="黑体" w:eastAsia="黑体"/>
      <w:kern w:val="0"/>
      <w:sz w:val="28"/>
    </w:rPr>
  </w:style>
  <w:style w:type="paragraph" w:customStyle="1" w:styleId="afffffb">
    <w:name w:val="标准文件_封面标准分类号"/>
    <w:basedOn w:val="afff5"/>
    <w:rPr>
      <w:rFonts w:ascii="黑体" w:eastAsia="黑体"/>
      <w:b/>
      <w:kern w:val="0"/>
      <w:sz w:val="28"/>
    </w:rPr>
  </w:style>
  <w:style w:type="paragraph" w:customStyle="1" w:styleId="afffffc">
    <w:name w:val="标准文件_封面标准名称"/>
    <w:basedOn w:val="afff5"/>
    <w:pPr>
      <w:spacing w:line="240" w:lineRule="auto"/>
      <w:jc w:val="center"/>
    </w:pPr>
    <w:rPr>
      <w:rFonts w:ascii="黑体" w:eastAsia="黑体"/>
      <w:kern w:val="0"/>
      <w:sz w:val="52"/>
    </w:rPr>
  </w:style>
  <w:style w:type="paragraph" w:customStyle="1" w:styleId="afffffd">
    <w:name w:val="标准文件_封面标准英文名称"/>
    <w:basedOn w:val="afff5"/>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rPr>
      <w:rFonts w:eastAsia="黑体"/>
      <w:sz w:val="32"/>
    </w:rPr>
  </w:style>
  <w:style w:type="paragraph" w:customStyle="1" w:styleId="affffff0">
    <w:name w:val="标准文件_封面实施日期"/>
    <w:basedOn w:val="afff5"/>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pPr>
      <w:spacing w:line="460" w:lineRule="exact"/>
      <w:ind w:left="0" w:firstLine="0"/>
    </w:pPr>
  </w:style>
  <w:style w:type="paragraph" w:customStyle="1" w:styleId="affffff6">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kern w:val="2"/>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pPr>
      <w:numPr>
        <w:ilvl w:val="2"/>
      </w:numPr>
      <w:spacing w:beforeLines="50" w:before="50" w:afterLines="50" w:after="50"/>
      <w:ind w:left="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5"/>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autoRedefine/>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6"/>
    <w:rPr>
      <w:rFonts w:ascii="黑体" w:eastAsia="黑体"/>
      <w:spacing w:val="85"/>
      <w:w w:val="100"/>
      <w:position w:val="3"/>
      <w:sz w:val="28"/>
      <w:szCs w:val="28"/>
    </w:rPr>
  </w:style>
  <w:style w:type="paragraph" w:styleId="afffffffffff6">
    <w:name w:val="List Paragraph"/>
    <w:basedOn w:val="afff5"/>
    <w:uiPriority w:val="34"/>
    <w:qFormat/>
    <w:pPr>
      <w:adjustRightInd/>
      <w:spacing w:line="240" w:lineRule="auto"/>
      <w:ind w:firstLineChars="200" w:firstLine="420"/>
    </w:pPr>
    <w:rPr>
      <w:szCs w:val="22"/>
    </w:r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Char"/>
    <w:uiPriority w:val="99"/>
    <w:semiHidden/>
    <w:unhideWhenUsed/>
    <w:pPr>
      <w:jc w:val="left"/>
    </w:pPr>
  </w:style>
  <w:style w:type="paragraph" w:styleId="afffb">
    <w:name w:val="Body Text"/>
    <w:basedOn w:val="afff5"/>
    <w:link w:val="Char0"/>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pPr>
      <w:tabs>
        <w:tab w:val="right" w:leader="dot" w:pos="9344"/>
      </w:tabs>
      <w:snapToGrid w:val="0"/>
    </w:pPr>
    <w:rPr>
      <w:rFonts w:ascii="宋体"/>
      <w:kern w:val="0"/>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rPr>
      <w:b/>
      <w:bCs/>
    </w:rPr>
  </w:style>
  <w:style w:type="table" w:styleId="affff3">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rPr>
      <w:rFonts w:ascii="宋体" w:eastAsia="宋体" w:hAnsi="Times New Roman"/>
      <w:sz w:val="18"/>
    </w:rPr>
  </w:style>
  <w:style w:type="character" w:styleId="affff6">
    <w:name w:val="Emphasis"/>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rPr>
      <w:sz w:val="21"/>
      <w:szCs w:val="21"/>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uiPriority w:val="99"/>
    <w:rPr>
      <w:rFonts w:ascii="宋体"/>
      <w:kern w:val="2"/>
      <w:sz w:val="18"/>
      <w:szCs w:val="18"/>
    </w:rPr>
  </w:style>
  <w:style w:type="character" w:customStyle="1" w:styleId="Char1">
    <w:name w:val="批注框文本 Char"/>
    <w:link w:val="afffc"/>
    <w:autoRedefine/>
    <w:uiPriority w:val="99"/>
    <w:semiHidden/>
    <w:rPr>
      <w:kern w:val="2"/>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uiPriority w:val="29"/>
    <w:rPr>
      <w:i/>
      <w:iCs/>
      <w:color w:val="000000"/>
      <w:kern w:val="2"/>
      <w:sz w:val="21"/>
      <w:szCs w:val="21"/>
    </w:rPr>
  </w:style>
  <w:style w:type="character" w:customStyle="1" w:styleId="Char5">
    <w:name w:val="标题 Char"/>
    <w:link w:val="affff1"/>
    <w:autoRedefine/>
    <w:qFormat/>
    <w:rPr>
      <w:rFonts w:ascii="Arial" w:hAnsi="Arial" w:cs="Arial"/>
      <w:b/>
      <w:bCs/>
      <w:kern w:val="2"/>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pPr>
      <w:jc w:val="center"/>
    </w:pPr>
    <w:rPr>
      <w:rFonts w:ascii="黑体" w:eastAsia="黑体"/>
      <w:kern w:val="0"/>
      <w:sz w:val="44"/>
    </w:rPr>
  </w:style>
  <w:style w:type="paragraph" w:customStyle="1" w:styleId="afffff4">
    <w:name w:val="标准文件_标准代替"/>
    <w:basedOn w:val="afff5"/>
    <w:next w:val="afff5"/>
    <w:pPr>
      <w:spacing w:line="310" w:lineRule="exact"/>
      <w:jc w:val="right"/>
    </w:pPr>
    <w:rPr>
      <w:rFonts w:ascii="宋体" w:hAnsi="宋体"/>
      <w:kern w:val="0"/>
    </w:rPr>
  </w:style>
  <w:style w:type="paragraph" w:customStyle="1" w:styleId="afffff5">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pPr>
      <w:jc w:val="left"/>
    </w:pPr>
  </w:style>
  <w:style w:type="paragraph" w:customStyle="1" w:styleId="afffff8">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pPr>
      <w:spacing w:line="310" w:lineRule="exact"/>
      <w:jc w:val="right"/>
    </w:pPr>
    <w:rPr>
      <w:rFonts w:ascii="黑体" w:eastAsia="黑体"/>
      <w:kern w:val="0"/>
      <w:sz w:val="28"/>
    </w:rPr>
  </w:style>
  <w:style w:type="paragraph" w:customStyle="1" w:styleId="afffffb">
    <w:name w:val="标准文件_封面标准分类号"/>
    <w:basedOn w:val="afff5"/>
    <w:rPr>
      <w:rFonts w:ascii="黑体" w:eastAsia="黑体"/>
      <w:b/>
      <w:kern w:val="0"/>
      <w:sz w:val="28"/>
    </w:rPr>
  </w:style>
  <w:style w:type="paragraph" w:customStyle="1" w:styleId="afffffc">
    <w:name w:val="标准文件_封面标准名称"/>
    <w:basedOn w:val="afff5"/>
    <w:pPr>
      <w:spacing w:line="240" w:lineRule="auto"/>
      <w:jc w:val="center"/>
    </w:pPr>
    <w:rPr>
      <w:rFonts w:ascii="黑体" w:eastAsia="黑体"/>
      <w:kern w:val="0"/>
      <w:sz w:val="52"/>
    </w:rPr>
  </w:style>
  <w:style w:type="paragraph" w:customStyle="1" w:styleId="afffffd">
    <w:name w:val="标准文件_封面标准英文名称"/>
    <w:basedOn w:val="afff5"/>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rPr>
      <w:rFonts w:eastAsia="黑体"/>
      <w:sz w:val="32"/>
    </w:rPr>
  </w:style>
  <w:style w:type="paragraph" w:customStyle="1" w:styleId="affffff0">
    <w:name w:val="标准文件_封面实施日期"/>
    <w:basedOn w:val="afff5"/>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pPr>
      <w:spacing w:line="460" w:lineRule="exact"/>
      <w:ind w:left="0" w:firstLine="0"/>
    </w:pPr>
  </w:style>
  <w:style w:type="paragraph" w:customStyle="1" w:styleId="affffff6">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kern w:val="2"/>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pPr>
      <w:numPr>
        <w:ilvl w:val="2"/>
      </w:numPr>
      <w:spacing w:beforeLines="50" w:before="50" w:afterLines="50" w:after="50"/>
      <w:ind w:left="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5"/>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autoRedefine/>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6"/>
    <w:rPr>
      <w:rFonts w:ascii="黑体" w:eastAsia="黑体"/>
      <w:spacing w:val="85"/>
      <w:w w:val="100"/>
      <w:position w:val="3"/>
      <w:sz w:val="28"/>
      <w:szCs w:val="28"/>
    </w:rPr>
  </w:style>
  <w:style w:type="paragraph" w:styleId="afffffffffff6">
    <w:name w:val="List Paragraph"/>
    <w:basedOn w:val="afff5"/>
    <w:uiPriority w:val="34"/>
    <w:qFormat/>
    <w:pPr>
      <w:adjustRightInd/>
      <w:spacing w:line="240" w:lineRule="auto"/>
      <w:ind w:firstLineChars="200" w:firstLine="420"/>
    </w:pPr>
    <w:rPr>
      <w:szCs w:val="22"/>
    </w:r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jpeg"/><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9CC24FA86C146579746A5ACE5E7F0BC"/>
        <w:category>
          <w:name w:val="常规"/>
          <w:gallery w:val="placeholder"/>
        </w:category>
        <w:types>
          <w:type w:val="bbPlcHdr"/>
        </w:types>
        <w:behaviors>
          <w:behavior w:val="content"/>
        </w:behaviors>
        <w:guid w:val="{CCFFFB28-6007-40FC-9F57-B018002F649F}"/>
      </w:docPartPr>
      <w:docPartBody>
        <w:p w:rsidR="005D1E19" w:rsidRDefault="00B02327">
          <w:pPr>
            <w:pStyle w:val="09CC24FA86C146579746A5ACE5E7F0BC"/>
          </w:pPr>
          <w:r>
            <w:rPr>
              <w:rStyle w:val="a3"/>
              <w:rFonts w:hint="eastAsia"/>
            </w:rPr>
            <w:t>单击或点击此处输入文字。</w:t>
          </w:r>
        </w:p>
      </w:docPartBody>
    </w:docPart>
    <w:docPart>
      <w:docPartPr>
        <w:name w:val="185AF9CADC184DD9832B0F27A9861613"/>
        <w:category>
          <w:name w:val="常规"/>
          <w:gallery w:val="placeholder"/>
        </w:category>
        <w:types>
          <w:type w:val="bbPlcHdr"/>
        </w:types>
        <w:behaviors>
          <w:behavior w:val="content"/>
        </w:behaviors>
        <w:guid w:val="{12E251AB-E1D8-40F6-9ED1-0806A777BF6C}"/>
      </w:docPartPr>
      <w:docPartBody>
        <w:p w:rsidR="005D1E19" w:rsidRDefault="00B02327">
          <w:pPr>
            <w:pStyle w:val="185AF9CADC184DD9832B0F27A9861613"/>
          </w:pPr>
          <w:r>
            <w:rPr>
              <w:rStyle w:val="a3"/>
              <w:rFonts w:hint="eastAsia"/>
            </w:rPr>
            <w:t>选择一项。</w:t>
          </w:r>
        </w:p>
      </w:docPartBody>
    </w:docPart>
    <w:docPart>
      <w:docPartPr>
        <w:name w:val="8CDD389B5A7542A6A7B6F84AC342F6D8"/>
        <w:category>
          <w:name w:val="常规"/>
          <w:gallery w:val="placeholder"/>
        </w:category>
        <w:types>
          <w:type w:val="bbPlcHdr"/>
        </w:types>
        <w:behaviors>
          <w:behavior w:val="content"/>
        </w:behaviors>
        <w:guid w:val="{E9632A55-AC2C-4E4F-AA5F-26F7DAFA30BE}"/>
      </w:docPartPr>
      <w:docPartBody>
        <w:p w:rsidR="005D1E19" w:rsidRDefault="00B02327">
          <w:pPr>
            <w:pStyle w:val="8CDD389B5A7542A6A7B6F84AC342F6D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4DB"/>
    <w:rsid w:val="00061458"/>
    <w:rsid w:val="000E44DB"/>
    <w:rsid w:val="00171D7C"/>
    <w:rsid w:val="0026407D"/>
    <w:rsid w:val="002D23FC"/>
    <w:rsid w:val="00322F76"/>
    <w:rsid w:val="004A2CC4"/>
    <w:rsid w:val="005D1E19"/>
    <w:rsid w:val="005F17CD"/>
    <w:rsid w:val="006900B3"/>
    <w:rsid w:val="00B02327"/>
    <w:rsid w:val="00B54542"/>
    <w:rsid w:val="00C33D27"/>
    <w:rsid w:val="00D63E67"/>
    <w:rsid w:val="00DE4AD8"/>
    <w:rsid w:val="00F31BC4"/>
    <w:rsid w:val="00F910E4"/>
    <w:rsid w:val="00FB5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9CC24FA86C146579746A5ACE5E7F0BC">
    <w:name w:val="09CC24FA86C146579746A5ACE5E7F0BC"/>
    <w:pPr>
      <w:widowControl w:val="0"/>
      <w:jc w:val="both"/>
    </w:pPr>
    <w:rPr>
      <w:kern w:val="2"/>
      <w:sz w:val="21"/>
      <w:szCs w:val="22"/>
    </w:rPr>
  </w:style>
  <w:style w:type="paragraph" w:customStyle="1" w:styleId="185AF9CADC184DD9832B0F27A9861613">
    <w:name w:val="185AF9CADC184DD9832B0F27A9861613"/>
    <w:pPr>
      <w:widowControl w:val="0"/>
      <w:jc w:val="both"/>
    </w:pPr>
    <w:rPr>
      <w:kern w:val="2"/>
      <w:sz w:val="21"/>
      <w:szCs w:val="22"/>
    </w:rPr>
  </w:style>
  <w:style w:type="paragraph" w:customStyle="1" w:styleId="8CDD389B5A7542A6A7B6F84AC342F6D8">
    <w:name w:val="8CDD389B5A7542A6A7B6F84AC342F6D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9CC24FA86C146579746A5ACE5E7F0BC">
    <w:name w:val="09CC24FA86C146579746A5ACE5E7F0BC"/>
    <w:pPr>
      <w:widowControl w:val="0"/>
      <w:jc w:val="both"/>
    </w:pPr>
    <w:rPr>
      <w:kern w:val="2"/>
      <w:sz w:val="21"/>
      <w:szCs w:val="22"/>
    </w:rPr>
  </w:style>
  <w:style w:type="paragraph" w:customStyle="1" w:styleId="185AF9CADC184DD9832B0F27A9861613">
    <w:name w:val="185AF9CADC184DD9832B0F27A9861613"/>
    <w:pPr>
      <w:widowControl w:val="0"/>
      <w:jc w:val="both"/>
    </w:pPr>
    <w:rPr>
      <w:kern w:val="2"/>
      <w:sz w:val="21"/>
      <w:szCs w:val="22"/>
    </w:rPr>
  </w:style>
  <w:style w:type="paragraph" w:customStyle="1" w:styleId="8CDD389B5A7542A6A7B6F84AC342F6D8">
    <w:name w:val="8CDD389B5A7542A6A7B6F84AC342F6D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EF4B20-FD5F-46B1-A512-F277F394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33</TotalTime>
  <Pages>1</Pages>
  <Words>614</Words>
  <Characters>3501</Characters>
  <Application>Microsoft Office Word</Application>
  <DocSecurity>0</DocSecurity>
  <Lines>29</Lines>
  <Paragraphs>8</Paragraphs>
  <ScaleCrop>false</ScaleCrop>
  <Company>PCMI</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pc</dc:creator>
  <dc:description>&lt;config cover="true" show_menu="true" version="1.0.0" doctype="SDKXY"&gt;_x000d_
&lt;/config&gt;</dc:description>
  <cp:lastModifiedBy>yczj</cp:lastModifiedBy>
  <cp:revision>33</cp:revision>
  <cp:lastPrinted>2020-08-30T10:00:00Z</cp:lastPrinted>
  <dcterms:created xsi:type="dcterms:W3CDTF">2024-01-29T07:33:00Z</dcterms:created>
  <dcterms:modified xsi:type="dcterms:W3CDTF">2024-02-01T06:59:00Z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1BDDF6D5D104496CA4389290CBF76739_12</vt:lpwstr>
  </property>
</Properties>
</file>